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4963" w14:textId="7D6FE0A7" w:rsidR="00F504BA" w:rsidRPr="00B07091" w:rsidRDefault="00F504BA" w:rsidP="005474D7">
      <w:pPr>
        <w:spacing w:after="0"/>
        <w:rPr>
          <w:color w:val="58BA47"/>
          <w:sz w:val="48"/>
          <w:szCs w:val="48"/>
        </w:rPr>
      </w:pPr>
      <w:r w:rsidRPr="00B07091">
        <w:rPr>
          <w:color w:val="58BA47"/>
          <w:sz w:val="48"/>
          <w:szCs w:val="48"/>
        </w:rPr>
        <w:t xml:space="preserve">Empirical evidence of </w:t>
      </w:r>
      <w:r w:rsidR="004E5118" w:rsidRPr="00B07091">
        <w:rPr>
          <w:color w:val="58BA47"/>
          <w:sz w:val="48"/>
          <w:szCs w:val="48"/>
        </w:rPr>
        <w:t>non-</w:t>
      </w:r>
      <w:r w:rsidR="00C33BFF" w:rsidRPr="00B07091">
        <w:rPr>
          <w:color w:val="58BA47"/>
          <w:sz w:val="48"/>
          <w:szCs w:val="48"/>
        </w:rPr>
        <w:t>linearit</w:t>
      </w:r>
      <w:r w:rsidR="004E5118" w:rsidRPr="00B07091">
        <w:rPr>
          <w:color w:val="58BA47"/>
          <w:sz w:val="48"/>
          <w:szCs w:val="48"/>
        </w:rPr>
        <w:t xml:space="preserve">y in bottom up effect </w:t>
      </w:r>
      <w:r w:rsidRPr="00B07091">
        <w:rPr>
          <w:color w:val="58BA47"/>
          <w:sz w:val="48"/>
          <w:szCs w:val="48"/>
        </w:rPr>
        <w:t>in a marine predator-prey system</w:t>
      </w:r>
    </w:p>
    <w:p w14:paraId="4BED5EB0" w14:textId="77777777" w:rsidR="00F504BA" w:rsidRPr="00B07091" w:rsidRDefault="00F504BA" w:rsidP="005474D7">
      <w:pPr>
        <w:spacing w:after="0" w:line="480" w:lineRule="auto"/>
        <w:rPr>
          <w:rFonts w:ascii="Arial" w:hAnsi="Arial" w:cs="Arial"/>
          <w:sz w:val="30"/>
          <w:szCs w:val="30"/>
        </w:rPr>
      </w:pPr>
    </w:p>
    <w:p w14:paraId="6C566C5D" w14:textId="374BFB2C" w:rsidR="00F504BA" w:rsidRPr="00B07091" w:rsidRDefault="00F504BA" w:rsidP="005474D7">
      <w:pPr>
        <w:spacing w:after="0" w:line="480" w:lineRule="auto"/>
        <w:rPr>
          <w:rFonts w:ascii="Arial" w:hAnsi="Arial" w:cs="Arial"/>
          <w:sz w:val="30"/>
          <w:szCs w:val="30"/>
        </w:rPr>
      </w:pPr>
      <w:r w:rsidRPr="00B07091">
        <w:rPr>
          <w:rFonts w:ascii="Arial" w:hAnsi="Arial" w:cs="Arial"/>
          <w:sz w:val="30"/>
          <w:szCs w:val="30"/>
        </w:rPr>
        <w:t>Joël M. Durant</w:t>
      </w:r>
      <w:r w:rsidRPr="00B07091">
        <w:rPr>
          <w:rFonts w:ascii="Arial" w:hAnsi="Arial" w:cs="Arial"/>
          <w:sz w:val="30"/>
          <w:szCs w:val="30"/>
          <w:vertAlign w:val="superscript"/>
        </w:rPr>
        <w:t>1</w:t>
      </w:r>
      <w:r w:rsidR="00A76B47" w:rsidRPr="00B07091">
        <w:rPr>
          <w:rFonts w:ascii="Arial" w:hAnsi="Arial" w:cs="Arial"/>
          <w:sz w:val="30"/>
          <w:szCs w:val="30"/>
          <w:vertAlign w:val="superscript"/>
        </w:rPr>
        <w:t>*</w:t>
      </w:r>
      <w:r w:rsidRPr="00B07091">
        <w:rPr>
          <w:rFonts w:ascii="Arial" w:hAnsi="Arial" w:cs="Arial"/>
          <w:sz w:val="30"/>
          <w:szCs w:val="30"/>
        </w:rPr>
        <w:t>, Kotaro Ono</w:t>
      </w:r>
      <w:r w:rsidRPr="00B07091">
        <w:rPr>
          <w:rFonts w:ascii="Arial" w:hAnsi="Arial" w:cs="Arial"/>
          <w:sz w:val="30"/>
          <w:szCs w:val="30"/>
          <w:vertAlign w:val="superscript"/>
        </w:rPr>
        <w:t>2</w:t>
      </w:r>
      <w:r w:rsidRPr="00B07091">
        <w:rPr>
          <w:rFonts w:ascii="Arial" w:hAnsi="Arial" w:cs="Arial"/>
          <w:sz w:val="30"/>
          <w:szCs w:val="30"/>
        </w:rPr>
        <w:t xml:space="preserve"> and </w:t>
      </w:r>
      <w:proofErr w:type="spellStart"/>
      <w:r w:rsidRPr="00B07091">
        <w:rPr>
          <w:rFonts w:ascii="Arial" w:hAnsi="Arial" w:cs="Arial"/>
          <w:sz w:val="30"/>
          <w:szCs w:val="30"/>
        </w:rPr>
        <w:t>Øystein</w:t>
      </w:r>
      <w:proofErr w:type="spellEnd"/>
      <w:r w:rsidRPr="00B07091">
        <w:rPr>
          <w:rFonts w:ascii="Arial" w:hAnsi="Arial" w:cs="Arial"/>
          <w:sz w:val="30"/>
          <w:szCs w:val="30"/>
        </w:rPr>
        <w:t xml:space="preserve"> Langangen</w:t>
      </w:r>
      <w:r w:rsidRPr="00B07091">
        <w:rPr>
          <w:rFonts w:ascii="Arial" w:hAnsi="Arial" w:cs="Arial"/>
          <w:sz w:val="30"/>
          <w:szCs w:val="30"/>
          <w:vertAlign w:val="superscript"/>
        </w:rPr>
        <w:t>3</w:t>
      </w:r>
    </w:p>
    <w:p w14:paraId="4A88113D" w14:textId="77777777" w:rsidR="00F504BA" w:rsidRPr="00B07091" w:rsidRDefault="00F504BA" w:rsidP="005474D7">
      <w:pPr>
        <w:pStyle w:val="ListParagraph"/>
        <w:numPr>
          <w:ilvl w:val="0"/>
          <w:numId w:val="1"/>
        </w:numPr>
        <w:tabs>
          <w:tab w:val="left" w:pos="284"/>
          <w:tab w:val="left" w:pos="426"/>
        </w:tabs>
        <w:spacing w:line="276" w:lineRule="auto"/>
        <w:ind w:left="0" w:firstLine="0"/>
        <w:contextualSpacing w:val="0"/>
      </w:pPr>
      <w:bookmarkStart w:id="0" w:name="_Ref473034929"/>
      <w:r w:rsidRPr="00B07091">
        <w:t xml:space="preserve">Centre for Ecological and Evolutionary Synthesis (CEES), Department of Biosciences, University of Oslo, PO Box 1066 </w:t>
      </w:r>
      <w:proofErr w:type="spellStart"/>
      <w:r w:rsidRPr="00B07091">
        <w:t>Blindern</w:t>
      </w:r>
      <w:proofErr w:type="spellEnd"/>
      <w:r w:rsidRPr="00B07091">
        <w:t>, NO-0316 Oslo, Norway.</w:t>
      </w:r>
      <w:bookmarkEnd w:id="0"/>
    </w:p>
    <w:p w14:paraId="610A28E6" w14:textId="77777777" w:rsidR="00F504BA" w:rsidRPr="00B07091" w:rsidRDefault="00F504BA" w:rsidP="005474D7">
      <w:pPr>
        <w:pStyle w:val="ListParagraph"/>
        <w:numPr>
          <w:ilvl w:val="0"/>
          <w:numId w:val="1"/>
        </w:numPr>
        <w:tabs>
          <w:tab w:val="left" w:pos="284"/>
          <w:tab w:val="left" w:pos="426"/>
        </w:tabs>
        <w:spacing w:line="276" w:lineRule="auto"/>
        <w:ind w:left="0" w:firstLine="0"/>
        <w:contextualSpacing w:val="0"/>
      </w:pPr>
      <w:r w:rsidRPr="00B07091">
        <w:t xml:space="preserve">Institute for Marine Research (IMR), P.O. Box 1870 </w:t>
      </w:r>
      <w:proofErr w:type="spellStart"/>
      <w:r w:rsidRPr="00B07091">
        <w:t>Nordnes</w:t>
      </w:r>
      <w:proofErr w:type="spellEnd"/>
      <w:r w:rsidRPr="00B07091">
        <w:t>, Bergen 5817, Norway.</w:t>
      </w:r>
    </w:p>
    <w:p w14:paraId="5DCFF44B" w14:textId="07D805CE" w:rsidR="00F504BA" w:rsidRPr="00B07091" w:rsidRDefault="00F504BA" w:rsidP="005474D7">
      <w:pPr>
        <w:pStyle w:val="ListParagraph"/>
        <w:numPr>
          <w:ilvl w:val="0"/>
          <w:numId w:val="1"/>
        </w:numPr>
        <w:tabs>
          <w:tab w:val="left" w:pos="284"/>
          <w:tab w:val="left" w:pos="426"/>
        </w:tabs>
        <w:spacing w:line="276" w:lineRule="auto"/>
        <w:ind w:left="0" w:firstLine="0"/>
        <w:contextualSpacing w:val="0"/>
      </w:pPr>
      <w:r w:rsidRPr="00B07091">
        <w:t xml:space="preserve">Section for Aquatic Biology and Toxicology (AQUA), Department of Biosciences, University of Oslo, PO Box 1066 </w:t>
      </w:r>
      <w:proofErr w:type="spellStart"/>
      <w:r w:rsidRPr="00B07091">
        <w:t>Blindern</w:t>
      </w:r>
      <w:proofErr w:type="spellEnd"/>
      <w:r w:rsidRPr="00B07091">
        <w:t>, NO-0316 Oslo, Norway</w:t>
      </w:r>
    </w:p>
    <w:p w14:paraId="05636AE2" w14:textId="77777777" w:rsidR="00A76B47" w:rsidRPr="00B07091" w:rsidRDefault="00A76B47" w:rsidP="00A76B47">
      <w:pPr>
        <w:pStyle w:val="ListParagraph"/>
        <w:tabs>
          <w:tab w:val="left" w:pos="284"/>
          <w:tab w:val="left" w:pos="426"/>
        </w:tabs>
        <w:spacing w:line="276" w:lineRule="auto"/>
        <w:ind w:left="0"/>
        <w:contextualSpacing w:val="0"/>
      </w:pPr>
    </w:p>
    <w:p w14:paraId="2C0FFBFA" w14:textId="1AFC9487" w:rsidR="00A76B47" w:rsidRPr="00B07091" w:rsidRDefault="00A76B47" w:rsidP="001D6D99">
      <w:pPr>
        <w:spacing w:after="0"/>
        <w:rPr>
          <w:rFonts w:ascii="Times New Roman" w:hAnsi="Times New Roman"/>
        </w:rPr>
      </w:pPr>
      <w:r w:rsidRPr="00B07091">
        <w:rPr>
          <w:rFonts w:ascii="Times New Roman" w:hAnsi="Times New Roman"/>
        </w:rPr>
        <w:t>*corresponding author: joel.durant@ibv.uio.no</w:t>
      </w:r>
    </w:p>
    <w:p w14:paraId="29A5F75C" w14:textId="11763DC6" w:rsidR="001D6D99" w:rsidRPr="00B07091" w:rsidRDefault="001D6D99" w:rsidP="001D6D99">
      <w:pPr>
        <w:autoSpaceDE w:val="0"/>
        <w:autoSpaceDN w:val="0"/>
        <w:adjustRightInd w:val="0"/>
        <w:spacing w:after="0" w:line="240" w:lineRule="auto"/>
        <w:rPr>
          <w:rFonts w:eastAsia="Lato-Regular" w:cstheme="minorHAnsi"/>
          <w:color w:val="0000FF"/>
        </w:rPr>
      </w:pPr>
      <w:r w:rsidRPr="00B07091">
        <w:rPr>
          <w:rFonts w:cstheme="minorHAnsi"/>
          <w:i/>
          <w:iCs/>
          <w:color w:val="000000"/>
        </w:rPr>
        <w:t>Joël M. Durant</w:t>
      </w:r>
      <w:r w:rsidR="008F667F" w:rsidRPr="00B07091">
        <w:rPr>
          <w:rFonts w:cstheme="minorHAnsi"/>
          <w:i/>
          <w:iCs/>
          <w:color w:val="000000"/>
        </w:rPr>
        <w:t>:</w:t>
      </w:r>
      <w:r w:rsidRPr="00B07091">
        <w:rPr>
          <w:rFonts w:cstheme="minorHAnsi"/>
          <w:i/>
          <w:iCs/>
          <w:color w:val="000000"/>
        </w:rPr>
        <w:t xml:space="preserve"> </w:t>
      </w:r>
      <w:r w:rsidRPr="00B07091">
        <w:rPr>
          <w:rFonts w:eastAsia="Lato-Regular" w:cstheme="minorHAnsi"/>
        </w:rPr>
        <w:t>https://orcid.org/0000-0002-1129-525X</w:t>
      </w:r>
    </w:p>
    <w:p w14:paraId="5F0F5C50" w14:textId="394A28C8" w:rsidR="001D6D99" w:rsidRPr="00B07091" w:rsidRDefault="001D6D99" w:rsidP="001D6D99">
      <w:pPr>
        <w:autoSpaceDE w:val="0"/>
        <w:autoSpaceDN w:val="0"/>
        <w:adjustRightInd w:val="0"/>
        <w:spacing w:after="0" w:line="240" w:lineRule="auto"/>
        <w:rPr>
          <w:rFonts w:eastAsia="Lato-Regular" w:cstheme="minorHAnsi"/>
          <w:color w:val="0000FF"/>
        </w:rPr>
      </w:pPr>
      <w:r w:rsidRPr="00B07091">
        <w:rPr>
          <w:rFonts w:cstheme="minorHAnsi"/>
          <w:i/>
          <w:iCs/>
          <w:color w:val="000000"/>
        </w:rPr>
        <w:t>Kotaro Ono</w:t>
      </w:r>
      <w:r w:rsidR="008F667F" w:rsidRPr="00B07091">
        <w:rPr>
          <w:rFonts w:cstheme="minorHAnsi"/>
          <w:i/>
          <w:iCs/>
          <w:color w:val="000000"/>
        </w:rPr>
        <w:t>:</w:t>
      </w:r>
      <w:r w:rsidRPr="00B07091">
        <w:rPr>
          <w:rFonts w:cstheme="minorHAnsi"/>
          <w:i/>
          <w:iCs/>
          <w:color w:val="000000"/>
        </w:rPr>
        <w:t xml:space="preserve"> </w:t>
      </w:r>
      <w:r w:rsidRPr="00B07091">
        <w:rPr>
          <w:rFonts w:eastAsia="Lato-Regular" w:cstheme="minorHAnsi"/>
        </w:rPr>
        <w:t>https://orcid.org/0000-0003-4236-5916</w:t>
      </w:r>
    </w:p>
    <w:p w14:paraId="1FE04627" w14:textId="60D94758" w:rsidR="00A76B47" w:rsidRPr="00B07091" w:rsidRDefault="001D6D99" w:rsidP="001D6D99">
      <w:pPr>
        <w:spacing w:after="0" w:line="480" w:lineRule="auto"/>
        <w:rPr>
          <w:rFonts w:eastAsia="Lato-Regular" w:cstheme="minorHAnsi"/>
          <w:color w:val="0000FF"/>
        </w:rPr>
      </w:pPr>
      <w:proofErr w:type="spellStart"/>
      <w:r w:rsidRPr="00B07091">
        <w:rPr>
          <w:rFonts w:cstheme="minorHAnsi"/>
          <w:i/>
          <w:iCs/>
          <w:color w:val="000000"/>
        </w:rPr>
        <w:t>Øystein</w:t>
      </w:r>
      <w:proofErr w:type="spellEnd"/>
      <w:r w:rsidRPr="00B07091">
        <w:rPr>
          <w:rFonts w:cstheme="minorHAnsi"/>
          <w:i/>
          <w:iCs/>
          <w:color w:val="000000"/>
        </w:rPr>
        <w:t xml:space="preserve"> </w:t>
      </w:r>
      <w:proofErr w:type="spellStart"/>
      <w:r w:rsidRPr="00B07091">
        <w:rPr>
          <w:rFonts w:cstheme="minorHAnsi"/>
          <w:i/>
          <w:iCs/>
          <w:color w:val="000000"/>
        </w:rPr>
        <w:t>Langangen</w:t>
      </w:r>
      <w:proofErr w:type="spellEnd"/>
      <w:r w:rsidR="008F667F" w:rsidRPr="00B07091">
        <w:rPr>
          <w:rFonts w:cstheme="minorHAnsi"/>
          <w:i/>
          <w:iCs/>
          <w:color w:val="000000"/>
        </w:rPr>
        <w:t>:</w:t>
      </w:r>
      <w:r w:rsidRPr="00B07091">
        <w:rPr>
          <w:rFonts w:cstheme="minorHAnsi"/>
          <w:i/>
          <w:iCs/>
          <w:color w:val="000000"/>
        </w:rPr>
        <w:t xml:space="preserve"> </w:t>
      </w:r>
      <w:r w:rsidR="004A2EC8" w:rsidRPr="00B07091">
        <w:rPr>
          <w:rFonts w:eastAsia="Lato-Regular" w:cstheme="minorHAnsi"/>
        </w:rPr>
        <w:t>https://orcid.org/0000-0002-6977-6128</w:t>
      </w:r>
    </w:p>
    <w:p w14:paraId="589006F4" w14:textId="77777777" w:rsidR="004A2EC8" w:rsidRPr="00B07091" w:rsidRDefault="004A2EC8" w:rsidP="004A2EC8">
      <w:pPr>
        <w:spacing w:after="0" w:line="240" w:lineRule="auto"/>
        <w:rPr>
          <w:rFonts w:ascii="Times New Roman" w:hAnsi="Times New Roman" w:cs="Times New Roman"/>
        </w:rPr>
      </w:pPr>
    </w:p>
    <w:p w14:paraId="53B8129F" w14:textId="264DC50B" w:rsidR="0046170B" w:rsidRPr="00B07091" w:rsidRDefault="00F1237D" w:rsidP="005474D7">
      <w:pPr>
        <w:spacing w:after="0" w:line="480" w:lineRule="auto"/>
        <w:rPr>
          <w:rFonts w:ascii="AdvOTd67905e7" w:hAnsi="AdvOTd67905e7" w:cs="AdvOTd67905e7"/>
          <w:color w:val="58BA47"/>
          <w:sz w:val="32"/>
          <w:szCs w:val="32"/>
        </w:rPr>
      </w:pPr>
      <w:r w:rsidRPr="00B07091">
        <w:rPr>
          <w:rFonts w:ascii="AdvOTd67905e7" w:hAnsi="AdvOTd67905e7" w:cs="AdvOTd67905e7"/>
          <w:color w:val="58BA47"/>
          <w:sz w:val="32"/>
          <w:szCs w:val="32"/>
        </w:rPr>
        <w:t>Abstract</w:t>
      </w:r>
    </w:p>
    <w:p w14:paraId="45F1AE59" w14:textId="4A9818D8" w:rsidR="0046170B" w:rsidRPr="00B07091" w:rsidRDefault="00F1237D" w:rsidP="00EB64F3">
      <w:pPr>
        <w:spacing w:after="0" w:line="276" w:lineRule="auto"/>
        <w:rPr>
          <w:rFonts w:ascii="Times New Roman" w:hAnsi="Times New Roman" w:cs="Times New Roman"/>
        </w:rPr>
      </w:pPr>
      <w:r w:rsidRPr="00B07091">
        <w:rPr>
          <w:rFonts w:ascii="Times New Roman" w:hAnsi="Times New Roman" w:cs="Times New Roman"/>
        </w:rPr>
        <w:t xml:space="preserve">Strength of species interaction </w:t>
      </w:r>
      <w:r w:rsidR="004D6124" w:rsidRPr="00B07091">
        <w:rPr>
          <w:rFonts w:ascii="Times New Roman" w:hAnsi="Times New Roman" w:cs="Times New Roman"/>
        </w:rPr>
        <w:t xml:space="preserve">may </w:t>
      </w:r>
      <w:r w:rsidRPr="00B07091">
        <w:rPr>
          <w:rFonts w:ascii="Times New Roman" w:hAnsi="Times New Roman" w:cs="Times New Roman"/>
        </w:rPr>
        <w:t>h</w:t>
      </w:r>
      <w:r w:rsidR="004D6124" w:rsidRPr="00B07091">
        <w:rPr>
          <w:rFonts w:ascii="Times New Roman" w:hAnsi="Times New Roman" w:cs="Times New Roman"/>
        </w:rPr>
        <w:t>ave</w:t>
      </w:r>
      <w:r w:rsidRPr="00B07091">
        <w:rPr>
          <w:rFonts w:ascii="Times New Roman" w:hAnsi="Times New Roman" w:cs="Times New Roman"/>
        </w:rPr>
        <w:t xml:space="preserve"> profound effect</w:t>
      </w:r>
      <w:r w:rsidR="00823C41" w:rsidRPr="00B07091">
        <w:rPr>
          <w:rFonts w:ascii="Times New Roman" w:hAnsi="Times New Roman" w:cs="Times New Roman"/>
        </w:rPr>
        <w:t>s</w:t>
      </w:r>
      <w:r w:rsidRPr="00B07091">
        <w:rPr>
          <w:rFonts w:ascii="Times New Roman" w:hAnsi="Times New Roman" w:cs="Times New Roman"/>
        </w:rPr>
        <w:t xml:space="preserve"> on population dynamics</w:t>
      </w:r>
      <w:r w:rsidR="00751461" w:rsidRPr="00B07091">
        <w:rPr>
          <w:rFonts w:ascii="Times New Roman" w:hAnsi="Times New Roman" w:cs="Times New Roman"/>
        </w:rPr>
        <w:t>.</w:t>
      </w:r>
      <w:r w:rsidR="004D6124" w:rsidRPr="00B07091">
        <w:rPr>
          <w:rFonts w:ascii="Times New Roman" w:hAnsi="Times New Roman" w:cs="Times New Roman"/>
        </w:rPr>
        <w:t xml:space="preserve"> Empirical estimates of interaction strength </w:t>
      </w:r>
      <w:r w:rsidR="00751461" w:rsidRPr="00B07091">
        <w:rPr>
          <w:rFonts w:ascii="Times New Roman" w:hAnsi="Times New Roman" w:cs="Times New Roman"/>
        </w:rPr>
        <w:t>i</w:t>
      </w:r>
      <w:r w:rsidR="004D6124" w:rsidRPr="00B07091">
        <w:rPr>
          <w:rFonts w:ascii="Times New Roman" w:hAnsi="Times New Roman" w:cs="Times New Roman"/>
        </w:rPr>
        <w:t xml:space="preserve">s often based on </w:t>
      </w:r>
      <w:r w:rsidR="00751461" w:rsidRPr="00B07091">
        <w:rPr>
          <w:rFonts w:ascii="Times New Roman" w:hAnsi="Times New Roman" w:cs="Times New Roman"/>
        </w:rPr>
        <w:t xml:space="preserve">the assumption that </w:t>
      </w:r>
      <w:r w:rsidR="004D6124" w:rsidRPr="00B07091">
        <w:rPr>
          <w:rFonts w:ascii="Times New Roman" w:hAnsi="Times New Roman" w:cs="Times New Roman"/>
        </w:rPr>
        <w:t>the interaction strengths are constant</w:t>
      </w:r>
      <w:r w:rsidRPr="00B07091">
        <w:rPr>
          <w:rFonts w:ascii="Times New Roman" w:hAnsi="Times New Roman" w:cs="Times New Roman"/>
        </w:rPr>
        <w:t xml:space="preserve">. </w:t>
      </w:r>
      <w:r w:rsidR="00751461" w:rsidRPr="00B07091">
        <w:rPr>
          <w:rFonts w:ascii="Times New Roman" w:hAnsi="Times New Roman" w:cs="Times New Roman"/>
        </w:rPr>
        <w:t xml:space="preserve">Barents Sea cod and capelin are two fish </w:t>
      </w:r>
      <w:r w:rsidR="008F2466" w:rsidRPr="00B07091">
        <w:rPr>
          <w:rFonts w:ascii="Times New Roman" w:hAnsi="Times New Roman" w:cs="Times New Roman"/>
        </w:rPr>
        <w:t xml:space="preserve">populations </w:t>
      </w:r>
      <w:r w:rsidR="00751461" w:rsidRPr="00B07091">
        <w:rPr>
          <w:rFonts w:ascii="Times New Roman" w:hAnsi="Times New Roman" w:cs="Times New Roman"/>
        </w:rPr>
        <w:t xml:space="preserve">for which such interaction has been acknowledged and used, under the assumption of constant interaction strength, when studying their </w:t>
      </w:r>
      <w:proofErr w:type="gramStart"/>
      <w:r w:rsidR="00751461" w:rsidRPr="00B07091">
        <w:rPr>
          <w:rFonts w:ascii="Times New Roman" w:hAnsi="Times New Roman" w:cs="Times New Roman"/>
        </w:rPr>
        <w:t>population</w:t>
      </w:r>
      <w:proofErr w:type="gramEnd"/>
      <w:r w:rsidR="00751461" w:rsidRPr="00B07091">
        <w:rPr>
          <w:rFonts w:ascii="Times New Roman" w:hAnsi="Times New Roman" w:cs="Times New Roman"/>
        </w:rPr>
        <w:t xml:space="preserve"> dynamics. However, species interaction can often be non-linear in marine ecosystems and might profoundly change our understanding of food chain</w:t>
      </w:r>
      <w:r w:rsidR="008132C2" w:rsidRPr="00B07091">
        <w:rPr>
          <w:rFonts w:ascii="Times New Roman" w:hAnsi="Times New Roman" w:cs="Times New Roman"/>
        </w:rPr>
        <w:t>s</w:t>
      </w:r>
      <w:r w:rsidR="00751461" w:rsidRPr="00B07091">
        <w:rPr>
          <w:rFonts w:ascii="Times New Roman" w:hAnsi="Times New Roman" w:cs="Times New Roman"/>
        </w:rPr>
        <w:t xml:space="preserve">. </w:t>
      </w:r>
      <w:r w:rsidRPr="00B07091">
        <w:rPr>
          <w:rFonts w:ascii="Times New Roman" w:hAnsi="Times New Roman" w:cs="Times New Roman"/>
        </w:rPr>
        <w:t xml:space="preserve">Analysing </w:t>
      </w:r>
      <w:r w:rsidR="00127B7A" w:rsidRPr="00B07091">
        <w:rPr>
          <w:rFonts w:ascii="Times New Roman" w:hAnsi="Times New Roman" w:cs="Times New Roman"/>
        </w:rPr>
        <w:t xml:space="preserve">37 years </w:t>
      </w:r>
      <w:r w:rsidRPr="00B07091">
        <w:rPr>
          <w:rFonts w:ascii="Times New Roman" w:hAnsi="Times New Roman" w:cs="Times New Roman"/>
        </w:rPr>
        <w:t xml:space="preserve">long </w:t>
      </w:r>
      <w:r w:rsidR="00DC1888" w:rsidRPr="00B07091">
        <w:rPr>
          <w:rFonts w:ascii="Times New Roman" w:hAnsi="Times New Roman" w:cs="Times New Roman"/>
        </w:rPr>
        <w:t>survey time series</w:t>
      </w:r>
      <w:r w:rsidRPr="00B07091">
        <w:rPr>
          <w:rFonts w:ascii="Times New Roman" w:hAnsi="Times New Roman" w:cs="Times New Roman"/>
        </w:rPr>
        <w:t xml:space="preserve"> in the </w:t>
      </w:r>
      <w:proofErr w:type="spellStart"/>
      <w:r w:rsidRPr="00B07091">
        <w:rPr>
          <w:rFonts w:ascii="Times New Roman" w:hAnsi="Times New Roman" w:cs="Times New Roman"/>
        </w:rPr>
        <w:t>Arcto</w:t>
      </w:r>
      <w:proofErr w:type="spellEnd"/>
      <w:r w:rsidRPr="00B07091">
        <w:rPr>
          <w:rFonts w:ascii="Times New Roman" w:hAnsi="Times New Roman" w:cs="Times New Roman"/>
        </w:rPr>
        <w:t>-Boreal Barents Sea</w:t>
      </w:r>
      <w:r w:rsidR="00127B7A" w:rsidRPr="00B07091">
        <w:rPr>
          <w:rFonts w:ascii="Times New Roman" w:hAnsi="Times New Roman" w:cs="Times New Roman"/>
        </w:rPr>
        <w:t xml:space="preserve"> with</w:t>
      </w:r>
      <w:r w:rsidR="00C01273" w:rsidRPr="00B07091">
        <w:rPr>
          <w:rFonts w:ascii="Times New Roman" w:hAnsi="Times New Roman" w:cs="Times New Roman"/>
        </w:rPr>
        <w:t xml:space="preserve"> a</w:t>
      </w:r>
      <w:r w:rsidRPr="00B07091">
        <w:rPr>
          <w:rFonts w:ascii="Times New Roman" w:hAnsi="Times New Roman" w:cs="Times New Roman"/>
        </w:rPr>
        <w:t xml:space="preserve"> </w:t>
      </w:r>
      <w:r w:rsidR="00127B7A" w:rsidRPr="00B07091">
        <w:rPr>
          <w:rFonts w:ascii="Times New Roman" w:hAnsi="Times New Roman" w:cs="Times New Roman"/>
        </w:rPr>
        <w:t>state-</w:t>
      </w:r>
      <w:r w:rsidR="0074632C" w:rsidRPr="00B07091">
        <w:rPr>
          <w:rFonts w:ascii="Times New Roman" w:hAnsi="Times New Roman" w:cs="Times New Roman"/>
        </w:rPr>
        <w:t>space</w:t>
      </w:r>
      <w:r w:rsidR="00127B7A" w:rsidRPr="00B07091">
        <w:rPr>
          <w:rFonts w:ascii="Times New Roman" w:hAnsi="Times New Roman" w:cs="Times New Roman"/>
        </w:rPr>
        <w:t xml:space="preserve"> </w:t>
      </w:r>
      <w:r w:rsidRPr="00B07091">
        <w:rPr>
          <w:rFonts w:ascii="Times New Roman" w:hAnsi="Times New Roman" w:cs="Times New Roman"/>
        </w:rPr>
        <w:t>modelling</w:t>
      </w:r>
      <w:r w:rsidR="00E1645B" w:rsidRPr="00B07091">
        <w:rPr>
          <w:rFonts w:ascii="Times New Roman" w:hAnsi="Times New Roman" w:cs="Times New Roman"/>
        </w:rPr>
        <w:t xml:space="preserve"> framework</w:t>
      </w:r>
      <w:r w:rsidR="00127B7A" w:rsidRPr="00B07091">
        <w:rPr>
          <w:rFonts w:ascii="Times New Roman" w:hAnsi="Times New Roman" w:cs="Times New Roman"/>
        </w:rPr>
        <w:t>, w</w:t>
      </w:r>
      <w:r w:rsidRPr="00B07091">
        <w:rPr>
          <w:rFonts w:ascii="Times New Roman" w:hAnsi="Times New Roman" w:cs="Times New Roman"/>
        </w:rPr>
        <w:t xml:space="preserve">e demonstrate that </w:t>
      </w:r>
      <w:r w:rsidR="004802A2" w:rsidRPr="00B07091">
        <w:rPr>
          <w:rFonts w:ascii="Times New Roman" w:hAnsi="Times New Roman" w:cs="Times New Roman"/>
        </w:rPr>
        <w:t>t</w:t>
      </w:r>
      <w:r w:rsidRPr="00B07091">
        <w:rPr>
          <w:rFonts w:ascii="Times New Roman" w:hAnsi="Times New Roman" w:cs="Times New Roman"/>
        </w:rPr>
        <w:t xml:space="preserve">he </w:t>
      </w:r>
      <w:r w:rsidR="004802A2" w:rsidRPr="00B07091">
        <w:rPr>
          <w:rFonts w:ascii="Times New Roman" w:hAnsi="Times New Roman" w:cs="Times New Roman"/>
        </w:rPr>
        <w:t>effect of capelin on cod is not linear but shift</w:t>
      </w:r>
      <w:r w:rsidR="00E1645B" w:rsidRPr="00B07091">
        <w:rPr>
          <w:rFonts w:ascii="Times New Roman" w:hAnsi="Times New Roman" w:cs="Times New Roman"/>
        </w:rPr>
        <w:t>s</w:t>
      </w:r>
      <w:r w:rsidR="004802A2" w:rsidRPr="00B07091">
        <w:rPr>
          <w:rFonts w:ascii="Times New Roman" w:hAnsi="Times New Roman" w:cs="Times New Roman"/>
        </w:rPr>
        <w:t xml:space="preserve"> depending on capelin abundance</w:t>
      </w:r>
      <w:r w:rsidR="00EA6CD7" w:rsidRPr="00B07091">
        <w:rPr>
          <w:rFonts w:ascii="Times New Roman" w:hAnsi="Times New Roman" w:cs="Times New Roman"/>
        </w:rPr>
        <w:t>:</w:t>
      </w:r>
      <w:r w:rsidR="004802A2" w:rsidRPr="00B07091">
        <w:rPr>
          <w:rFonts w:ascii="Times New Roman" w:hAnsi="Times New Roman" w:cs="Times New Roman"/>
        </w:rPr>
        <w:t xml:space="preserve"> </w:t>
      </w:r>
      <w:r w:rsidR="00EA6CD7" w:rsidRPr="00B07091">
        <w:rPr>
          <w:rFonts w:ascii="Times New Roman" w:hAnsi="Times New Roman" w:cs="Times New Roman"/>
        </w:rPr>
        <w:t>w</w:t>
      </w:r>
      <w:r w:rsidRPr="00B07091">
        <w:rPr>
          <w:rFonts w:ascii="Times New Roman" w:hAnsi="Times New Roman" w:cs="Times New Roman"/>
        </w:rPr>
        <w:t xml:space="preserve">hile </w:t>
      </w:r>
      <w:r w:rsidR="004802A2" w:rsidRPr="00B07091">
        <w:rPr>
          <w:rFonts w:ascii="Times New Roman" w:hAnsi="Times New Roman" w:cs="Times New Roman"/>
        </w:rPr>
        <w:t xml:space="preserve">capelin </w:t>
      </w:r>
      <w:r w:rsidR="00EA6CD7" w:rsidRPr="00B07091">
        <w:rPr>
          <w:rFonts w:ascii="Times New Roman" w:hAnsi="Times New Roman" w:cs="Times New Roman"/>
        </w:rPr>
        <w:t xml:space="preserve">is </w:t>
      </w:r>
      <w:r w:rsidR="004802A2" w:rsidRPr="00B07091">
        <w:rPr>
          <w:rFonts w:ascii="Times New Roman" w:hAnsi="Times New Roman" w:cs="Times New Roman"/>
        </w:rPr>
        <w:t>beneficial for cod</w:t>
      </w:r>
      <w:r w:rsidR="00EA6CD7" w:rsidRPr="00B07091">
        <w:rPr>
          <w:rFonts w:ascii="Times New Roman" w:hAnsi="Times New Roman" w:cs="Times New Roman"/>
        </w:rPr>
        <w:t xml:space="preserve"> </w:t>
      </w:r>
      <w:r w:rsidR="00C441D5" w:rsidRPr="00B07091">
        <w:rPr>
          <w:rFonts w:ascii="Times New Roman" w:hAnsi="Times New Roman" w:cs="Times New Roman"/>
        </w:rPr>
        <w:t xml:space="preserve">population </w:t>
      </w:r>
      <w:r w:rsidR="00EA6CD7" w:rsidRPr="00B07091">
        <w:rPr>
          <w:rFonts w:ascii="Times New Roman" w:hAnsi="Times New Roman" w:cs="Times New Roman"/>
        </w:rPr>
        <w:t xml:space="preserve">at </w:t>
      </w:r>
      <w:r w:rsidR="00C441D5" w:rsidRPr="00B07091">
        <w:rPr>
          <w:rFonts w:ascii="Times New Roman" w:hAnsi="Times New Roman" w:cs="Times New Roman"/>
        </w:rPr>
        <w:t>high</w:t>
      </w:r>
      <w:r w:rsidR="00EA6CD7" w:rsidRPr="00B07091">
        <w:rPr>
          <w:rFonts w:ascii="Times New Roman" w:hAnsi="Times New Roman" w:cs="Times New Roman"/>
        </w:rPr>
        <w:t xml:space="preserve"> abundance, </w:t>
      </w:r>
      <w:r w:rsidR="00C441D5" w:rsidRPr="00B07091">
        <w:rPr>
          <w:rFonts w:ascii="Times New Roman" w:hAnsi="Times New Roman" w:cs="Times New Roman"/>
        </w:rPr>
        <w:t>below</w:t>
      </w:r>
      <w:r w:rsidR="00EA6CD7" w:rsidRPr="00B07091">
        <w:rPr>
          <w:rFonts w:ascii="Times New Roman" w:hAnsi="Times New Roman" w:cs="Times New Roman"/>
        </w:rPr>
        <w:t xml:space="preserve"> </w:t>
      </w:r>
      <w:r w:rsidR="00A74846" w:rsidRPr="00B07091">
        <w:rPr>
          <w:rFonts w:ascii="Times New Roman" w:hAnsi="Times New Roman" w:cs="Times New Roman"/>
        </w:rPr>
        <w:t xml:space="preserve">the </w:t>
      </w:r>
      <w:r w:rsidR="00EA6CD7" w:rsidRPr="00B07091">
        <w:rPr>
          <w:rFonts w:ascii="Times New Roman" w:hAnsi="Times New Roman" w:cs="Times New Roman"/>
        </w:rPr>
        <w:t>threshold, it become</w:t>
      </w:r>
      <w:r w:rsidR="000C7518" w:rsidRPr="00B07091">
        <w:rPr>
          <w:rFonts w:ascii="Times New Roman" w:hAnsi="Times New Roman" w:cs="Times New Roman"/>
        </w:rPr>
        <w:t>s</w:t>
      </w:r>
      <w:r w:rsidR="00EA6CD7" w:rsidRPr="00B07091">
        <w:rPr>
          <w:rFonts w:ascii="Times New Roman" w:hAnsi="Times New Roman" w:cs="Times New Roman"/>
        </w:rPr>
        <w:t xml:space="preserve"> less important for </w:t>
      </w:r>
      <w:r w:rsidRPr="00B07091">
        <w:rPr>
          <w:rFonts w:ascii="Times New Roman" w:hAnsi="Times New Roman" w:cs="Times New Roman"/>
        </w:rPr>
        <w:t>cod. Our analys</w:t>
      </w:r>
      <w:r w:rsidR="004802A2" w:rsidRPr="00B07091">
        <w:rPr>
          <w:rFonts w:ascii="Times New Roman" w:hAnsi="Times New Roman" w:cs="Times New Roman"/>
        </w:rPr>
        <w:t>i</w:t>
      </w:r>
      <w:r w:rsidRPr="00B07091">
        <w:rPr>
          <w:rFonts w:ascii="Times New Roman" w:hAnsi="Times New Roman" w:cs="Times New Roman"/>
        </w:rPr>
        <w:t xml:space="preserve">s </w:t>
      </w:r>
      <w:r w:rsidR="000C7518" w:rsidRPr="00B07091">
        <w:rPr>
          <w:rFonts w:ascii="Times New Roman" w:hAnsi="Times New Roman" w:cs="Times New Roman"/>
        </w:rPr>
        <w:t xml:space="preserve">therefore shows the importance of </w:t>
      </w:r>
      <w:r w:rsidR="00E2258A" w:rsidRPr="00B07091">
        <w:rPr>
          <w:rFonts w:ascii="Times New Roman" w:hAnsi="Times New Roman" w:cs="Times New Roman"/>
        </w:rPr>
        <w:t>investigating</w:t>
      </w:r>
      <w:r w:rsidR="004802A2" w:rsidRPr="00B07091">
        <w:rPr>
          <w:rFonts w:ascii="Times New Roman" w:hAnsi="Times New Roman" w:cs="Times New Roman"/>
        </w:rPr>
        <w:t xml:space="preserve"> non-linearity </w:t>
      </w:r>
      <w:r w:rsidR="000C7518" w:rsidRPr="00B07091">
        <w:rPr>
          <w:rFonts w:ascii="Times New Roman" w:hAnsi="Times New Roman" w:cs="Times New Roman"/>
        </w:rPr>
        <w:t xml:space="preserve">in species interaction and </w:t>
      </w:r>
      <w:r w:rsidR="004802A2" w:rsidRPr="00B07091">
        <w:rPr>
          <w:rFonts w:ascii="Times New Roman" w:hAnsi="Times New Roman" w:cs="Times New Roman"/>
        </w:rPr>
        <w:t xml:space="preserve">may </w:t>
      </w:r>
      <w:r w:rsidR="000C7518" w:rsidRPr="00B07091">
        <w:rPr>
          <w:rFonts w:ascii="Times New Roman" w:hAnsi="Times New Roman" w:cs="Times New Roman"/>
        </w:rPr>
        <w:t xml:space="preserve">contribute to an </w:t>
      </w:r>
      <w:r w:rsidR="004802A2" w:rsidRPr="00B07091">
        <w:rPr>
          <w:rFonts w:ascii="Times New Roman" w:hAnsi="Times New Roman" w:cs="Times New Roman"/>
        </w:rPr>
        <w:t>improve</w:t>
      </w:r>
      <w:r w:rsidR="000C7518" w:rsidRPr="00B07091">
        <w:rPr>
          <w:rFonts w:ascii="Times New Roman" w:hAnsi="Times New Roman" w:cs="Times New Roman"/>
        </w:rPr>
        <w:t>d</w:t>
      </w:r>
      <w:r w:rsidR="004802A2" w:rsidRPr="00B07091">
        <w:rPr>
          <w:rFonts w:ascii="Times New Roman" w:hAnsi="Times New Roman" w:cs="Times New Roman"/>
        </w:rPr>
        <w:t xml:space="preserve"> understanding </w:t>
      </w:r>
      <w:r w:rsidR="000C7518" w:rsidRPr="00B07091">
        <w:rPr>
          <w:rFonts w:ascii="Times New Roman" w:hAnsi="Times New Roman" w:cs="Times New Roman"/>
        </w:rPr>
        <w:t xml:space="preserve">on </w:t>
      </w:r>
      <w:r w:rsidRPr="00B07091">
        <w:rPr>
          <w:rFonts w:ascii="Times New Roman" w:hAnsi="Times New Roman" w:cs="Times New Roman"/>
        </w:rPr>
        <w:t>species assemblages.</w:t>
      </w:r>
    </w:p>
    <w:p w14:paraId="218E75EF" w14:textId="39264C89" w:rsidR="004802A2" w:rsidRPr="00B07091" w:rsidRDefault="004802A2" w:rsidP="00F1237D">
      <w:pPr>
        <w:spacing w:after="0" w:line="240" w:lineRule="auto"/>
        <w:rPr>
          <w:rFonts w:ascii="AdvOTd67905e7" w:hAnsi="AdvOTd67905e7" w:cs="AdvOTd67905e7"/>
          <w:color w:val="58BA47"/>
          <w:sz w:val="32"/>
          <w:szCs w:val="32"/>
        </w:rPr>
      </w:pPr>
    </w:p>
    <w:p w14:paraId="180EB010" w14:textId="77777777" w:rsidR="00EB64F3" w:rsidRPr="00B07091" w:rsidRDefault="00EB64F3" w:rsidP="00EB64F3">
      <w:pPr>
        <w:spacing w:after="0" w:line="240" w:lineRule="auto"/>
        <w:rPr>
          <w:rFonts w:ascii="Times New Roman" w:hAnsi="Times New Roman" w:cs="Times New Roman"/>
        </w:rPr>
      </w:pPr>
      <w:r w:rsidRPr="00B07091">
        <w:rPr>
          <w:rFonts w:ascii="Times New Roman" w:hAnsi="Times New Roman" w:cs="Times New Roman"/>
          <w:b/>
        </w:rPr>
        <w:t>Keywords</w:t>
      </w:r>
      <w:r w:rsidRPr="00B07091">
        <w:rPr>
          <w:rFonts w:ascii="Times New Roman" w:hAnsi="Times New Roman" w:cs="Times New Roman"/>
        </w:rPr>
        <w:t>: Bayesian statistic, Gompertz model, species competition, predation, threshold modelling</w:t>
      </w:r>
    </w:p>
    <w:p w14:paraId="0D5307BA" w14:textId="77777777" w:rsidR="00EB64F3" w:rsidRPr="00B07091" w:rsidRDefault="00EB64F3" w:rsidP="00F1237D">
      <w:pPr>
        <w:spacing w:after="0" w:line="240" w:lineRule="auto"/>
        <w:rPr>
          <w:rFonts w:ascii="AdvOTd67905e7" w:hAnsi="AdvOTd67905e7" w:cs="AdvOTd67905e7"/>
          <w:color w:val="58BA47"/>
          <w:sz w:val="32"/>
          <w:szCs w:val="32"/>
        </w:rPr>
      </w:pPr>
    </w:p>
    <w:p w14:paraId="74EF1995" w14:textId="77777777" w:rsidR="00EB64F3" w:rsidRPr="00B07091" w:rsidRDefault="00EB64F3">
      <w:pPr>
        <w:rPr>
          <w:rFonts w:ascii="AdvOTd67905e7" w:hAnsi="AdvOTd67905e7" w:cs="AdvOTd67905e7"/>
          <w:color w:val="58BA47"/>
          <w:sz w:val="32"/>
          <w:szCs w:val="32"/>
        </w:rPr>
      </w:pPr>
      <w:r w:rsidRPr="00B07091">
        <w:rPr>
          <w:rFonts w:ascii="AdvOTd67905e7" w:hAnsi="AdvOTd67905e7" w:cs="AdvOTd67905e7"/>
          <w:color w:val="58BA47"/>
          <w:sz w:val="32"/>
          <w:szCs w:val="32"/>
        </w:rPr>
        <w:br w:type="page"/>
      </w:r>
    </w:p>
    <w:p w14:paraId="419F4CEC" w14:textId="4D3B3F10" w:rsidR="00234D03" w:rsidRPr="00B07091" w:rsidRDefault="00F1237D" w:rsidP="00F1237D">
      <w:pPr>
        <w:spacing w:line="480" w:lineRule="auto"/>
        <w:rPr>
          <w:rFonts w:ascii="AdvOTd67905e7" w:hAnsi="AdvOTd67905e7" w:cs="AdvOTd67905e7"/>
          <w:color w:val="58BA47"/>
          <w:sz w:val="32"/>
          <w:szCs w:val="32"/>
        </w:rPr>
      </w:pPr>
      <w:r w:rsidRPr="00B07091">
        <w:rPr>
          <w:rFonts w:ascii="AdvOTd67905e7" w:hAnsi="AdvOTd67905e7" w:cs="AdvOTd67905e7"/>
          <w:color w:val="58BA47"/>
          <w:sz w:val="32"/>
          <w:szCs w:val="32"/>
        </w:rPr>
        <w:lastRenderedPageBreak/>
        <w:t xml:space="preserve">1. </w:t>
      </w:r>
      <w:r w:rsidR="00234D03" w:rsidRPr="00B07091">
        <w:rPr>
          <w:rFonts w:ascii="AdvOTd67905e7" w:hAnsi="AdvOTd67905e7" w:cs="AdvOTd67905e7"/>
          <w:color w:val="58BA47"/>
          <w:sz w:val="32"/>
          <w:szCs w:val="32"/>
        </w:rPr>
        <w:t>Introduction</w:t>
      </w:r>
    </w:p>
    <w:p w14:paraId="7D4FEF5E" w14:textId="3C05F034" w:rsidR="008D6C9C" w:rsidRPr="00B07091" w:rsidRDefault="00E2258A" w:rsidP="0088704B">
      <w:pPr>
        <w:spacing w:after="0" w:line="276" w:lineRule="auto"/>
        <w:ind w:firstLine="720"/>
        <w:rPr>
          <w:rFonts w:ascii="Times New Roman" w:hAnsi="Times New Roman" w:cs="Times New Roman"/>
        </w:rPr>
      </w:pPr>
      <w:r w:rsidRPr="00B07091">
        <w:rPr>
          <w:rFonts w:ascii="Times New Roman" w:hAnsi="Times New Roman" w:cs="Times New Roman"/>
        </w:rPr>
        <w:t xml:space="preserve">Climate change is profoundly affecting and altering marine systems </w:t>
      </w:r>
      <w:r w:rsidR="00AA54A3" w:rsidRPr="00B07091">
        <w:rPr>
          <w:rFonts w:ascii="Times New Roman" w:hAnsi="Times New Roman" w:cs="Times New Roman"/>
        </w:rPr>
        <w:t>(1)</w:t>
      </w:r>
      <w:r w:rsidRPr="00B07091">
        <w:rPr>
          <w:rFonts w:ascii="Times New Roman" w:hAnsi="Times New Roman" w:cs="Times New Roman"/>
        </w:rPr>
        <w:t>. Indirect effects</w:t>
      </w:r>
      <w:r w:rsidR="00854C2F" w:rsidRPr="00B07091">
        <w:rPr>
          <w:rFonts w:ascii="Times New Roman" w:hAnsi="Times New Roman" w:cs="Times New Roman"/>
        </w:rPr>
        <w:t xml:space="preserve"> of climate change, such as</w:t>
      </w:r>
      <w:r w:rsidRPr="00B07091">
        <w:rPr>
          <w:rFonts w:ascii="Times New Roman" w:hAnsi="Times New Roman" w:cs="Times New Roman"/>
        </w:rPr>
        <w:t xml:space="preserve"> </w:t>
      </w:r>
      <w:r w:rsidR="006E52DE" w:rsidRPr="00B07091">
        <w:rPr>
          <w:rFonts w:ascii="Times New Roman" w:hAnsi="Times New Roman" w:cs="Times New Roman"/>
        </w:rPr>
        <w:t>alteration of species interactions</w:t>
      </w:r>
      <w:r w:rsidR="00100E77" w:rsidRPr="00B07091">
        <w:rPr>
          <w:rFonts w:ascii="Times New Roman" w:hAnsi="Times New Roman" w:cs="Times New Roman"/>
        </w:rPr>
        <w:t>,</w:t>
      </w:r>
      <w:r w:rsidR="006E52DE" w:rsidRPr="00B07091">
        <w:rPr>
          <w:rFonts w:ascii="Times New Roman" w:hAnsi="Times New Roman" w:cs="Times New Roman"/>
        </w:rPr>
        <w:t xml:space="preserve"> </w:t>
      </w:r>
      <w:r w:rsidR="00100E77" w:rsidRPr="00B07091">
        <w:rPr>
          <w:rFonts w:ascii="Times New Roman" w:hAnsi="Times New Roman" w:cs="Times New Roman"/>
        </w:rPr>
        <w:t>might have a stronger impact on</w:t>
      </w:r>
      <w:r w:rsidR="006E52DE" w:rsidRPr="00B07091">
        <w:rPr>
          <w:rFonts w:ascii="Times New Roman" w:hAnsi="Times New Roman" w:cs="Times New Roman"/>
        </w:rPr>
        <w:t xml:space="preserve"> population dynamics than the direct</w:t>
      </w:r>
      <w:r w:rsidRPr="00B07091">
        <w:rPr>
          <w:rFonts w:ascii="Times New Roman" w:hAnsi="Times New Roman" w:cs="Times New Roman"/>
        </w:rPr>
        <w:t xml:space="preserve"> warming</w:t>
      </w:r>
      <w:r w:rsidR="006E52DE" w:rsidRPr="00B07091">
        <w:rPr>
          <w:rFonts w:ascii="Times New Roman" w:hAnsi="Times New Roman" w:cs="Times New Roman"/>
        </w:rPr>
        <w:t xml:space="preserve"> effect</w:t>
      </w:r>
      <w:r w:rsidRPr="00B07091">
        <w:rPr>
          <w:rFonts w:ascii="Times New Roman" w:hAnsi="Times New Roman" w:cs="Times New Roman"/>
        </w:rPr>
        <w:t>s</w:t>
      </w:r>
      <w:r w:rsidR="006E52DE" w:rsidRPr="00B07091">
        <w:rPr>
          <w:rFonts w:ascii="Times New Roman" w:hAnsi="Times New Roman" w:cs="Times New Roman"/>
        </w:rPr>
        <w:t xml:space="preserve"> </w:t>
      </w:r>
      <w:r w:rsidR="00AA54A3" w:rsidRPr="00B07091">
        <w:rPr>
          <w:rFonts w:ascii="Times New Roman" w:hAnsi="Times New Roman" w:cs="Times New Roman"/>
        </w:rPr>
        <w:t>(2, 3)</w:t>
      </w:r>
      <w:r w:rsidR="006E52DE" w:rsidRPr="00B07091">
        <w:rPr>
          <w:rFonts w:ascii="Times New Roman" w:hAnsi="Times New Roman" w:cs="Times New Roman"/>
        </w:rPr>
        <w:t xml:space="preserve">. </w:t>
      </w:r>
      <w:r w:rsidR="0088704B" w:rsidRPr="00B07091">
        <w:rPr>
          <w:rFonts w:ascii="Times New Roman" w:hAnsi="Times New Roman" w:cs="Times New Roman"/>
        </w:rPr>
        <w:t xml:space="preserve">Environment can also have a non-additive effect (e.g., threshold) on population dynamics in terrestrial </w:t>
      </w:r>
      <w:r w:rsidR="0088704B" w:rsidRPr="00B07091">
        <w:rPr>
          <w:rFonts w:ascii="Times New Roman" w:hAnsi="Times New Roman" w:cs="Times New Roman"/>
          <w:noProof/>
        </w:rPr>
        <w:t>(4, 5)</w:t>
      </w:r>
      <w:r w:rsidR="0088704B" w:rsidRPr="00B07091">
        <w:rPr>
          <w:rFonts w:ascii="Times New Roman" w:hAnsi="Times New Roman" w:cs="Times New Roman"/>
        </w:rPr>
        <w:t xml:space="preserve"> and marine </w:t>
      </w:r>
      <w:r w:rsidR="0088704B" w:rsidRPr="00B07091">
        <w:rPr>
          <w:rFonts w:ascii="Times New Roman" w:hAnsi="Times New Roman" w:cs="Times New Roman"/>
          <w:noProof/>
        </w:rPr>
        <w:t>(6-10)</w:t>
      </w:r>
      <w:r w:rsidR="0088704B" w:rsidRPr="00B07091">
        <w:rPr>
          <w:rFonts w:ascii="Times New Roman" w:hAnsi="Times New Roman" w:cs="Times New Roman"/>
        </w:rPr>
        <w:t xml:space="preserve"> systems alike resulting in different population equilibrium and dynamics </w:t>
      </w:r>
      <w:r w:rsidR="0088704B" w:rsidRPr="00B07091">
        <w:rPr>
          <w:noProof/>
        </w:rPr>
        <w:t>(4)</w:t>
      </w:r>
      <w:r w:rsidR="0088704B" w:rsidRPr="00B07091">
        <w:rPr>
          <w:rFonts w:ascii="Times New Roman" w:hAnsi="Times New Roman" w:cs="Times New Roman"/>
        </w:rPr>
        <w:t>.</w:t>
      </w:r>
      <w:r w:rsidR="0088704B" w:rsidRPr="00B07091">
        <w:t xml:space="preserve"> </w:t>
      </w:r>
      <w:r w:rsidR="008B6C04" w:rsidRPr="00B07091">
        <w:rPr>
          <w:rFonts w:ascii="Times New Roman" w:hAnsi="Times New Roman" w:cs="Times New Roman"/>
        </w:rPr>
        <w:t>Marine systems are prone to non-linear trans</w:t>
      </w:r>
      <w:r w:rsidR="00FB00A7" w:rsidRPr="00B07091">
        <w:rPr>
          <w:rFonts w:ascii="Times New Roman" w:hAnsi="Times New Roman" w:cs="Times New Roman"/>
        </w:rPr>
        <w:t>itions</w:t>
      </w:r>
      <w:r w:rsidR="008B6C04" w:rsidRPr="00B07091">
        <w:rPr>
          <w:rFonts w:ascii="Times New Roman" w:hAnsi="Times New Roman" w:cs="Times New Roman"/>
        </w:rPr>
        <w:t xml:space="preserve"> </w:t>
      </w:r>
      <w:r w:rsidR="00DC4922" w:rsidRPr="00B07091">
        <w:rPr>
          <w:rFonts w:ascii="Times New Roman" w:hAnsi="Times New Roman" w:cs="Times New Roman"/>
        </w:rPr>
        <w:t>under</w:t>
      </w:r>
      <w:r w:rsidR="008B6C04" w:rsidRPr="00B07091">
        <w:rPr>
          <w:rFonts w:ascii="Times New Roman" w:hAnsi="Times New Roman" w:cs="Times New Roman"/>
        </w:rPr>
        <w:t xml:space="preserve"> </w:t>
      </w:r>
      <w:r w:rsidR="00E3069C" w:rsidRPr="00B07091">
        <w:rPr>
          <w:rFonts w:ascii="Times New Roman" w:hAnsi="Times New Roman" w:cs="Times New Roman"/>
        </w:rPr>
        <w:t xml:space="preserve">climate warming </w:t>
      </w:r>
      <w:r w:rsidR="00AA54A3" w:rsidRPr="00B07091">
        <w:rPr>
          <w:rFonts w:ascii="Times New Roman" w:hAnsi="Times New Roman" w:cs="Times New Roman"/>
        </w:rPr>
        <w:t>(1)</w:t>
      </w:r>
      <w:r w:rsidR="002562EA" w:rsidRPr="00B07091">
        <w:rPr>
          <w:rFonts w:ascii="Times New Roman" w:hAnsi="Times New Roman" w:cs="Times New Roman"/>
        </w:rPr>
        <w:t xml:space="preserve"> </w:t>
      </w:r>
      <w:r w:rsidR="00DC4922" w:rsidRPr="00B07091">
        <w:rPr>
          <w:rFonts w:ascii="Times New Roman" w:hAnsi="Times New Roman" w:cs="Times New Roman"/>
        </w:rPr>
        <w:t>and</w:t>
      </w:r>
      <w:r w:rsidR="00BB1832" w:rsidRPr="00B07091">
        <w:rPr>
          <w:rFonts w:ascii="Times New Roman" w:hAnsi="Times New Roman" w:cs="Times New Roman"/>
        </w:rPr>
        <w:t xml:space="preserve"> overfishing </w:t>
      </w:r>
      <w:r w:rsidR="0088704B" w:rsidRPr="00B07091">
        <w:rPr>
          <w:rFonts w:ascii="Times New Roman" w:hAnsi="Times New Roman" w:cs="Times New Roman"/>
          <w:noProof/>
        </w:rPr>
        <w:t>(11)</w:t>
      </w:r>
      <w:r w:rsidR="002562EA" w:rsidRPr="00B07091">
        <w:rPr>
          <w:rFonts w:ascii="Times New Roman" w:hAnsi="Times New Roman" w:cs="Times New Roman"/>
        </w:rPr>
        <w:t xml:space="preserve"> </w:t>
      </w:r>
      <w:r w:rsidR="00031B2B" w:rsidRPr="00B07091">
        <w:rPr>
          <w:rFonts w:ascii="Times New Roman" w:hAnsi="Times New Roman" w:cs="Times New Roman"/>
        </w:rPr>
        <w:t>that</w:t>
      </w:r>
      <w:r w:rsidR="008B6C04" w:rsidRPr="00B07091">
        <w:rPr>
          <w:rFonts w:ascii="Times New Roman" w:hAnsi="Times New Roman" w:cs="Times New Roman"/>
        </w:rPr>
        <w:t xml:space="preserve"> may </w:t>
      </w:r>
      <w:r w:rsidR="0088704B" w:rsidRPr="00B07091">
        <w:rPr>
          <w:rFonts w:ascii="Times New Roman" w:hAnsi="Times New Roman" w:cs="Times New Roman"/>
        </w:rPr>
        <w:t xml:space="preserve">also </w:t>
      </w:r>
      <w:r w:rsidR="008B6C04" w:rsidRPr="00B07091">
        <w:rPr>
          <w:rFonts w:ascii="Times New Roman" w:hAnsi="Times New Roman" w:cs="Times New Roman"/>
        </w:rPr>
        <w:t xml:space="preserve">lead to </w:t>
      </w:r>
      <w:r w:rsidR="00031B2B" w:rsidRPr="00B07091">
        <w:rPr>
          <w:rFonts w:ascii="Times New Roman" w:hAnsi="Times New Roman" w:cs="Times New Roman"/>
        </w:rPr>
        <w:t xml:space="preserve">altered </w:t>
      </w:r>
      <w:r w:rsidR="008B6C04" w:rsidRPr="00B07091">
        <w:rPr>
          <w:rFonts w:ascii="Times New Roman" w:hAnsi="Times New Roman" w:cs="Times New Roman"/>
        </w:rPr>
        <w:t xml:space="preserve">population </w:t>
      </w:r>
      <w:r w:rsidR="00FB00A7" w:rsidRPr="00B07091">
        <w:rPr>
          <w:rFonts w:ascii="Times New Roman" w:hAnsi="Times New Roman" w:cs="Times New Roman"/>
        </w:rPr>
        <w:t>dynamics</w:t>
      </w:r>
      <w:r w:rsidR="00031B2B" w:rsidRPr="00B07091">
        <w:rPr>
          <w:rFonts w:ascii="Times New Roman" w:hAnsi="Times New Roman" w:cs="Times New Roman"/>
        </w:rPr>
        <w:t xml:space="preserve"> </w:t>
      </w:r>
      <w:r w:rsidR="0088704B" w:rsidRPr="00B07091">
        <w:rPr>
          <w:rFonts w:ascii="Times New Roman" w:hAnsi="Times New Roman" w:cs="Times New Roman"/>
          <w:noProof/>
        </w:rPr>
        <w:t>(12, 13)</w:t>
      </w:r>
      <w:r w:rsidR="00A6205D" w:rsidRPr="00B07091">
        <w:rPr>
          <w:rFonts w:ascii="Times New Roman" w:hAnsi="Times New Roman" w:cs="Times New Roman"/>
        </w:rPr>
        <w:t>.</w:t>
      </w:r>
      <w:r w:rsidR="0088704B" w:rsidRPr="00B07091">
        <w:rPr>
          <w:rFonts w:ascii="Times New Roman" w:hAnsi="Times New Roman" w:cs="Times New Roman"/>
        </w:rPr>
        <w:t xml:space="preserve"> </w:t>
      </w:r>
      <w:r w:rsidR="00DC4922" w:rsidRPr="00B07091">
        <w:rPr>
          <w:rFonts w:ascii="Times New Roman" w:hAnsi="Times New Roman" w:cs="Times New Roman"/>
        </w:rPr>
        <w:t>A prime example of such non-linear transition is</w:t>
      </w:r>
      <w:r w:rsidR="008B6C04" w:rsidRPr="00B07091">
        <w:rPr>
          <w:rFonts w:ascii="Times New Roman" w:hAnsi="Times New Roman" w:cs="Times New Roman"/>
        </w:rPr>
        <w:t xml:space="preserve"> the Atlantic cod </w:t>
      </w:r>
      <w:r w:rsidR="0088704B" w:rsidRPr="00B07091">
        <w:rPr>
          <w:rFonts w:ascii="Times New Roman" w:hAnsi="Times New Roman" w:cs="Times New Roman"/>
          <w:noProof/>
        </w:rPr>
        <w:t>(10, 11, 14)</w:t>
      </w:r>
      <w:r w:rsidR="008B6C04" w:rsidRPr="00B07091">
        <w:rPr>
          <w:rFonts w:ascii="Times New Roman" w:hAnsi="Times New Roman" w:cs="Times New Roman"/>
        </w:rPr>
        <w:t>.</w:t>
      </w:r>
      <w:r w:rsidR="00BB1832" w:rsidRPr="00B07091">
        <w:rPr>
          <w:rFonts w:ascii="Times New Roman" w:hAnsi="Times New Roman" w:cs="Times New Roman"/>
        </w:rPr>
        <w:t xml:space="preserve"> Such non-linear trans</w:t>
      </w:r>
      <w:r w:rsidR="001303F4" w:rsidRPr="00B07091">
        <w:rPr>
          <w:rFonts w:ascii="Times New Roman" w:hAnsi="Times New Roman" w:cs="Times New Roman"/>
        </w:rPr>
        <w:t>ition</w:t>
      </w:r>
      <w:r w:rsidR="00BB1832" w:rsidRPr="00B07091">
        <w:rPr>
          <w:rFonts w:ascii="Times New Roman" w:hAnsi="Times New Roman" w:cs="Times New Roman"/>
        </w:rPr>
        <w:t xml:space="preserve"> was however seldom studied in relation to species interactions</w:t>
      </w:r>
      <w:r w:rsidR="00A6205D" w:rsidRPr="00B07091">
        <w:rPr>
          <w:rFonts w:ascii="Times New Roman" w:hAnsi="Times New Roman" w:cs="Times New Roman"/>
        </w:rPr>
        <w:t xml:space="preserve"> </w:t>
      </w:r>
      <w:r w:rsidR="0088704B" w:rsidRPr="00B07091">
        <w:rPr>
          <w:rFonts w:ascii="Times New Roman" w:hAnsi="Times New Roman" w:cs="Times New Roman"/>
          <w:noProof/>
        </w:rPr>
        <w:t>(but see 12)</w:t>
      </w:r>
      <w:r w:rsidR="00BB1832" w:rsidRPr="00B07091">
        <w:rPr>
          <w:rFonts w:ascii="Times New Roman" w:hAnsi="Times New Roman" w:cs="Times New Roman"/>
        </w:rPr>
        <w:t xml:space="preserve">. </w:t>
      </w:r>
      <w:r w:rsidR="003573D9" w:rsidRPr="00B07091">
        <w:rPr>
          <w:rFonts w:ascii="Times New Roman" w:hAnsi="Times New Roman" w:cs="Times New Roman"/>
        </w:rPr>
        <w:t>To study such interaction</w:t>
      </w:r>
      <w:r w:rsidR="00936097" w:rsidRPr="00B07091">
        <w:rPr>
          <w:rFonts w:ascii="Times New Roman" w:hAnsi="Times New Roman" w:cs="Times New Roman"/>
        </w:rPr>
        <w:t>s</w:t>
      </w:r>
      <w:r w:rsidR="003573D9" w:rsidRPr="00B07091">
        <w:rPr>
          <w:rFonts w:ascii="Times New Roman" w:hAnsi="Times New Roman" w:cs="Times New Roman"/>
        </w:rPr>
        <w:t xml:space="preserve">, Wootton and Emmerson </w:t>
      </w:r>
      <w:r w:rsidR="0088704B" w:rsidRPr="00B07091">
        <w:rPr>
          <w:rFonts w:ascii="Times New Roman" w:hAnsi="Times New Roman" w:cs="Times New Roman"/>
          <w:noProof/>
        </w:rPr>
        <w:t>(15)</w:t>
      </w:r>
      <w:r w:rsidR="00AA54A3" w:rsidRPr="00B07091" w:rsidDel="00AA54A3">
        <w:rPr>
          <w:rFonts w:ascii="Times New Roman" w:hAnsi="Times New Roman" w:cs="Times New Roman"/>
        </w:rPr>
        <w:t xml:space="preserve"> </w:t>
      </w:r>
      <w:r w:rsidR="003573D9" w:rsidRPr="00B07091">
        <w:rPr>
          <w:rFonts w:ascii="Times New Roman" w:hAnsi="Times New Roman" w:cs="Times New Roman"/>
        </w:rPr>
        <w:t xml:space="preserve">suggest to use long-term time series, take into </w:t>
      </w:r>
      <w:r w:rsidR="002C3B54" w:rsidRPr="00B07091">
        <w:rPr>
          <w:rFonts w:ascii="Times New Roman" w:hAnsi="Times New Roman" w:cs="Times New Roman"/>
        </w:rPr>
        <w:t xml:space="preserve">account </w:t>
      </w:r>
      <w:r w:rsidR="003573D9" w:rsidRPr="00B07091">
        <w:rPr>
          <w:rFonts w:ascii="Times New Roman" w:hAnsi="Times New Roman" w:cs="Times New Roman"/>
        </w:rPr>
        <w:t>non linearity and process errors</w:t>
      </w:r>
      <w:r w:rsidR="0034181C" w:rsidRPr="00B07091">
        <w:rPr>
          <w:rFonts w:ascii="Times New Roman" w:hAnsi="Times New Roman" w:cs="Times New Roman"/>
        </w:rPr>
        <w:t>. This can be achieved</w:t>
      </w:r>
      <w:r w:rsidR="003573D9" w:rsidRPr="00B07091">
        <w:rPr>
          <w:rFonts w:ascii="Times New Roman" w:hAnsi="Times New Roman" w:cs="Times New Roman"/>
        </w:rPr>
        <w:t xml:space="preserve"> using state-space modelling </w:t>
      </w:r>
      <w:proofErr w:type="gramStart"/>
      <w:r w:rsidR="003573D9" w:rsidRPr="00B07091">
        <w:rPr>
          <w:rFonts w:ascii="Times New Roman" w:hAnsi="Times New Roman" w:cs="Times New Roman"/>
        </w:rPr>
        <w:t>approach</w:t>
      </w:r>
      <w:r w:rsidR="0034181C" w:rsidRPr="00B07091">
        <w:rPr>
          <w:rFonts w:ascii="Times New Roman" w:hAnsi="Times New Roman" w:cs="Times New Roman"/>
        </w:rPr>
        <w:t xml:space="preserve">es </w:t>
      </w:r>
      <w:r w:rsidR="00AA54A3" w:rsidRPr="00B07091">
        <w:rPr>
          <w:rFonts w:ascii="Times New Roman" w:hAnsi="Times New Roman" w:cs="Times New Roman"/>
        </w:rPr>
        <w:t xml:space="preserve"> </w:t>
      </w:r>
      <w:r w:rsidR="0088704B" w:rsidRPr="00B07091">
        <w:rPr>
          <w:rFonts w:ascii="Times New Roman" w:hAnsi="Times New Roman" w:cs="Times New Roman"/>
          <w:noProof/>
        </w:rPr>
        <w:t>(</w:t>
      </w:r>
      <w:proofErr w:type="gramEnd"/>
      <w:r w:rsidR="0088704B" w:rsidRPr="00B07091">
        <w:rPr>
          <w:rFonts w:ascii="Times New Roman" w:hAnsi="Times New Roman" w:cs="Times New Roman"/>
          <w:noProof/>
        </w:rPr>
        <w:t>12, 16)</w:t>
      </w:r>
      <w:r w:rsidR="00AA54A3" w:rsidRPr="00B07091" w:rsidDel="00AA54A3">
        <w:rPr>
          <w:rFonts w:ascii="Times New Roman" w:hAnsi="Times New Roman" w:cs="Times New Roman"/>
        </w:rPr>
        <w:t xml:space="preserve"> </w:t>
      </w:r>
      <w:r w:rsidR="00936097" w:rsidRPr="00B07091">
        <w:rPr>
          <w:rFonts w:ascii="Times New Roman" w:hAnsi="Times New Roman" w:cs="Times New Roman"/>
        </w:rPr>
        <w:t>in data rich system</w:t>
      </w:r>
      <w:r w:rsidR="002C3B54" w:rsidRPr="00B07091">
        <w:rPr>
          <w:rFonts w:ascii="Times New Roman" w:hAnsi="Times New Roman" w:cs="Times New Roman"/>
        </w:rPr>
        <w:t>s</w:t>
      </w:r>
      <w:r w:rsidR="001E728C" w:rsidRPr="00B07091">
        <w:rPr>
          <w:rFonts w:ascii="Times New Roman" w:hAnsi="Times New Roman" w:cs="Times New Roman"/>
        </w:rPr>
        <w:t xml:space="preserve"> such as the </w:t>
      </w:r>
      <w:r w:rsidR="00936097" w:rsidRPr="00B07091">
        <w:rPr>
          <w:rFonts w:ascii="Times New Roman" w:hAnsi="Times New Roman" w:cs="Times New Roman"/>
        </w:rPr>
        <w:t xml:space="preserve">Barents Sea </w:t>
      </w:r>
      <w:r w:rsidR="0088704B" w:rsidRPr="00B07091">
        <w:rPr>
          <w:rFonts w:ascii="Times New Roman" w:hAnsi="Times New Roman" w:cs="Times New Roman"/>
          <w:noProof/>
        </w:rPr>
        <w:t>(17)</w:t>
      </w:r>
      <w:r w:rsidR="00AA54A3" w:rsidRPr="00B07091">
        <w:rPr>
          <w:rFonts w:ascii="Times New Roman" w:hAnsi="Times New Roman" w:cs="Times New Roman"/>
        </w:rPr>
        <w:t>.</w:t>
      </w:r>
    </w:p>
    <w:p w14:paraId="0399B023" w14:textId="6798B093" w:rsidR="008F667F" w:rsidRPr="00B07091" w:rsidRDefault="00BB1832" w:rsidP="00EB64F3">
      <w:pPr>
        <w:spacing w:after="0" w:line="276" w:lineRule="auto"/>
        <w:ind w:firstLine="720"/>
        <w:rPr>
          <w:rFonts w:ascii="Times New Roman" w:hAnsi="Times New Roman" w:cs="Times New Roman"/>
        </w:rPr>
      </w:pPr>
      <w:r w:rsidRPr="00B07091">
        <w:rPr>
          <w:rFonts w:ascii="Times New Roman" w:hAnsi="Times New Roman" w:cs="Times New Roman"/>
        </w:rPr>
        <w:t>Here we explore the population dynamics of two interacting</w:t>
      </w:r>
      <w:r w:rsidR="007E3203" w:rsidRPr="00B07091">
        <w:rPr>
          <w:rFonts w:ascii="Times New Roman" w:hAnsi="Times New Roman" w:cs="Times New Roman"/>
        </w:rPr>
        <w:t xml:space="preserve"> species</w:t>
      </w:r>
      <w:r w:rsidRPr="00B07091">
        <w:rPr>
          <w:rFonts w:ascii="Times New Roman" w:hAnsi="Times New Roman" w:cs="Times New Roman"/>
        </w:rPr>
        <w:t xml:space="preserve">: </w:t>
      </w:r>
      <w:r w:rsidR="008F667F" w:rsidRPr="00B07091">
        <w:rPr>
          <w:rFonts w:ascii="Times New Roman" w:hAnsi="Times New Roman" w:cs="Times New Roman"/>
        </w:rPr>
        <w:t xml:space="preserve">Barents Sea (BS) capelin </w:t>
      </w:r>
      <w:proofErr w:type="spellStart"/>
      <w:r w:rsidR="008F667F" w:rsidRPr="00B07091">
        <w:rPr>
          <w:rFonts w:ascii="Times New Roman" w:hAnsi="Times New Roman" w:cs="Times New Roman"/>
          <w:i/>
        </w:rPr>
        <w:t>Mallotus</w:t>
      </w:r>
      <w:proofErr w:type="spellEnd"/>
      <w:r w:rsidR="008F667F" w:rsidRPr="00B07091">
        <w:rPr>
          <w:rFonts w:ascii="Times New Roman" w:hAnsi="Times New Roman" w:cs="Times New Roman"/>
          <w:i/>
        </w:rPr>
        <w:t xml:space="preserve"> </w:t>
      </w:r>
      <w:proofErr w:type="spellStart"/>
      <w:r w:rsidR="008F667F" w:rsidRPr="00B07091">
        <w:rPr>
          <w:rFonts w:ascii="Times New Roman" w:hAnsi="Times New Roman" w:cs="Times New Roman"/>
          <w:i/>
        </w:rPr>
        <w:t>villosus</w:t>
      </w:r>
      <w:proofErr w:type="spellEnd"/>
      <w:r w:rsidR="008F667F" w:rsidRPr="00B07091">
        <w:rPr>
          <w:rFonts w:ascii="Times New Roman" w:hAnsi="Times New Roman" w:cs="Times New Roman"/>
        </w:rPr>
        <w:t xml:space="preserve"> </w:t>
      </w:r>
      <w:r w:rsidRPr="00B07091">
        <w:rPr>
          <w:rFonts w:ascii="Times New Roman" w:hAnsi="Times New Roman" w:cs="Times New Roman"/>
        </w:rPr>
        <w:t xml:space="preserve">and </w:t>
      </w:r>
      <w:r w:rsidR="008F667F" w:rsidRPr="00B07091">
        <w:rPr>
          <w:rFonts w:ascii="Times New Roman" w:hAnsi="Times New Roman" w:cs="Times New Roman"/>
        </w:rPr>
        <w:t xml:space="preserve">Northeast Arctic (NEA) cod </w:t>
      </w:r>
      <w:proofErr w:type="spellStart"/>
      <w:r w:rsidR="008F667F" w:rsidRPr="00B07091">
        <w:rPr>
          <w:rFonts w:ascii="Times New Roman" w:hAnsi="Times New Roman" w:cs="Times New Roman"/>
          <w:i/>
        </w:rPr>
        <w:t>Gadus</w:t>
      </w:r>
      <w:proofErr w:type="spellEnd"/>
      <w:r w:rsidR="008F667F" w:rsidRPr="00B07091">
        <w:rPr>
          <w:rFonts w:ascii="Times New Roman" w:hAnsi="Times New Roman" w:cs="Times New Roman"/>
          <w:i/>
        </w:rPr>
        <w:t xml:space="preserve"> </w:t>
      </w:r>
      <w:proofErr w:type="spellStart"/>
      <w:r w:rsidR="008F667F" w:rsidRPr="00B07091">
        <w:rPr>
          <w:rFonts w:ascii="Times New Roman" w:hAnsi="Times New Roman" w:cs="Times New Roman"/>
          <w:i/>
        </w:rPr>
        <w:t>morhua</w:t>
      </w:r>
      <w:proofErr w:type="spellEnd"/>
      <w:r w:rsidRPr="00B07091">
        <w:rPr>
          <w:rFonts w:ascii="Times New Roman" w:hAnsi="Times New Roman" w:cs="Times New Roman"/>
        </w:rPr>
        <w:t>.</w:t>
      </w:r>
      <w:r w:rsidR="008F667F" w:rsidRPr="00B07091">
        <w:rPr>
          <w:rFonts w:ascii="Times New Roman" w:hAnsi="Times New Roman" w:cs="Times New Roman"/>
        </w:rPr>
        <w:t xml:space="preserve"> Both species are known to interact </w:t>
      </w:r>
      <w:r w:rsidR="00100E77" w:rsidRPr="00B07091">
        <w:rPr>
          <w:rFonts w:ascii="Times New Roman" w:hAnsi="Times New Roman" w:cs="Times New Roman"/>
        </w:rPr>
        <w:t xml:space="preserve">in the Barents Sea </w:t>
      </w:r>
      <w:r w:rsidR="008F667F" w:rsidRPr="00B07091">
        <w:rPr>
          <w:rFonts w:ascii="Times New Roman" w:hAnsi="Times New Roman" w:cs="Times New Roman"/>
        </w:rPr>
        <w:t>and affect each other</w:t>
      </w:r>
      <w:r w:rsidR="00075108" w:rsidRPr="00B07091">
        <w:rPr>
          <w:rFonts w:ascii="Times New Roman" w:hAnsi="Times New Roman" w:cs="Times New Roman"/>
        </w:rPr>
        <w:t>’s</w:t>
      </w:r>
      <w:r w:rsidR="008F667F" w:rsidRPr="00B07091">
        <w:rPr>
          <w:rFonts w:ascii="Times New Roman" w:hAnsi="Times New Roman" w:cs="Times New Roman"/>
        </w:rPr>
        <w:t xml:space="preserve"> population </w:t>
      </w:r>
      <w:r w:rsidR="0088704B" w:rsidRPr="00B07091">
        <w:rPr>
          <w:rFonts w:ascii="Times New Roman" w:hAnsi="Times New Roman" w:cs="Times New Roman"/>
          <w:noProof/>
        </w:rPr>
        <w:t>(18)</w:t>
      </w:r>
      <w:r w:rsidR="00AA54A3" w:rsidRPr="00B07091">
        <w:rPr>
          <w:rFonts w:ascii="Times New Roman" w:hAnsi="Times New Roman" w:cs="Times New Roman"/>
        </w:rPr>
        <w:t>.</w:t>
      </w:r>
      <w:r w:rsidR="00AA54A3" w:rsidRPr="00B07091" w:rsidDel="00AA54A3">
        <w:rPr>
          <w:rFonts w:ascii="Times New Roman" w:hAnsi="Times New Roman" w:cs="Times New Roman"/>
        </w:rPr>
        <w:t xml:space="preserve"> </w:t>
      </w:r>
      <w:r w:rsidR="00B20156" w:rsidRPr="00B07091">
        <w:rPr>
          <w:rFonts w:ascii="Times New Roman" w:hAnsi="Times New Roman" w:cs="Times New Roman"/>
        </w:rPr>
        <w:t xml:space="preserve">Indeed, </w:t>
      </w:r>
      <w:r w:rsidR="008F667F" w:rsidRPr="00B07091">
        <w:rPr>
          <w:rFonts w:ascii="Times New Roman" w:hAnsi="Times New Roman" w:cs="Times New Roman"/>
        </w:rPr>
        <w:t xml:space="preserve">predation by NEA cod </w:t>
      </w:r>
      <w:r w:rsidR="00B20156" w:rsidRPr="00B07091">
        <w:rPr>
          <w:rFonts w:ascii="Times New Roman" w:hAnsi="Times New Roman" w:cs="Times New Roman"/>
        </w:rPr>
        <w:t xml:space="preserve">on BS capelin </w:t>
      </w:r>
      <w:r w:rsidR="008F667F" w:rsidRPr="00B07091">
        <w:rPr>
          <w:rFonts w:ascii="Times New Roman" w:hAnsi="Times New Roman" w:cs="Times New Roman"/>
        </w:rPr>
        <w:t xml:space="preserve">is thought to have delayed the capelin stock’s recovery after its collapses </w:t>
      </w:r>
      <w:r w:rsidR="00EE03EB" w:rsidRPr="00B07091">
        <w:rPr>
          <w:rFonts w:ascii="Times New Roman" w:hAnsi="Times New Roman" w:cs="Times New Roman"/>
        </w:rPr>
        <w:t>(13)</w:t>
      </w:r>
      <w:r w:rsidR="008F667F" w:rsidRPr="00B07091">
        <w:rPr>
          <w:rFonts w:ascii="Times New Roman" w:hAnsi="Times New Roman" w:cs="Times New Roman"/>
        </w:rPr>
        <w:t xml:space="preserve">. In addition, the BS capelin is considered to be the main food for NEA cod </w:t>
      </w:r>
      <w:r w:rsidR="0088704B" w:rsidRPr="00B07091">
        <w:rPr>
          <w:rFonts w:ascii="Times New Roman" w:hAnsi="Times New Roman" w:cs="Times New Roman"/>
          <w:noProof/>
        </w:rPr>
        <w:t>(19, 20)</w:t>
      </w:r>
      <w:r w:rsidR="00AA54A3" w:rsidRPr="00B07091" w:rsidDel="00AA54A3">
        <w:rPr>
          <w:rFonts w:ascii="Times New Roman" w:hAnsi="Times New Roman" w:cs="Times New Roman"/>
        </w:rPr>
        <w:t xml:space="preserve"> </w:t>
      </w:r>
      <w:r w:rsidR="008F667F" w:rsidRPr="00B07091">
        <w:rPr>
          <w:rFonts w:ascii="Times New Roman" w:hAnsi="Times New Roman" w:cs="Times New Roman"/>
        </w:rPr>
        <w:t xml:space="preserve">and low capelin stock was blamed for the very low cod catches at the end of </w:t>
      </w:r>
      <w:r w:rsidR="00AA54A3" w:rsidRPr="00B07091">
        <w:rPr>
          <w:rFonts w:ascii="Times New Roman" w:hAnsi="Times New Roman" w:cs="Times New Roman"/>
        </w:rPr>
        <w:t xml:space="preserve">1980s </w:t>
      </w:r>
      <w:r w:rsidR="0088704B" w:rsidRPr="00B07091">
        <w:rPr>
          <w:rFonts w:ascii="Times New Roman" w:hAnsi="Times New Roman" w:cs="Times New Roman"/>
          <w:noProof/>
        </w:rPr>
        <w:t>(21)</w:t>
      </w:r>
      <w:r w:rsidR="00AA54A3" w:rsidRPr="00B07091">
        <w:rPr>
          <w:rFonts w:ascii="Times New Roman" w:hAnsi="Times New Roman" w:cs="Times New Roman"/>
        </w:rPr>
        <w:t>.</w:t>
      </w:r>
      <w:r w:rsidR="002562EA" w:rsidRPr="00B07091">
        <w:rPr>
          <w:rFonts w:ascii="Times New Roman" w:hAnsi="Times New Roman" w:cs="Times New Roman"/>
        </w:rPr>
        <w:t xml:space="preserve"> Both species population dynamics are </w:t>
      </w:r>
      <w:r w:rsidR="008D6C9C" w:rsidRPr="00B07091">
        <w:rPr>
          <w:rFonts w:ascii="Times New Roman" w:hAnsi="Times New Roman" w:cs="Times New Roman"/>
        </w:rPr>
        <w:t>well documented to be affected by environmental variables</w:t>
      </w:r>
      <w:r w:rsidR="002562EA" w:rsidRPr="00B07091">
        <w:rPr>
          <w:rFonts w:ascii="Times New Roman" w:hAnsi="Times New Roman" w:cs="Times New Roman"/>
        </w:rPr>
        <w:t xml:space="preserve"> </w:t>
      </w:r>
      <w:r w:rsidR="0088704B" w:rsidRPr="00B07091">
        <w:rPr>
          <w:rFonts w:ascii="Times New Roman" w:hAnsi="Times New Roman" w:cs="Times New Roman"/>
          <w:noProof/>
        </w:rPr>
        <w:t>(e.g. 22, 23)</w:t>
      </w:r>
      <w:r w:rsidR="002562EA" w:rsidRPr="00B07091">
        <w:rPr>
          <w:rFonts w:ascii="Times New Roman" w:hAnsi="Times New Roman" w:cs="Times New Roman"/>
        </w:rPr>
        <w:t>.</w:t>
      </w:r>
      <w:r w:rsidR="008D6C9C" w:rsidRPr="00B07091">
        <w:rPr>
          <w:rFonts w:ascii="Times New Roman" w:hAnsi="Times New Roman" w:cs="Times New Roman"/>
        </w:rPr>
        <w:t xml:space="preserve"> </w:t>
      </w:r>
    </w:p>
    <w:p w14:paraId="67601CFB" w14:textId="59225869" w:rsidR="006E52DE" w:rsidRPr="00B07091" w:rsidRDefault="00321263" w:rsidP="00280274">
      <w:pPr>
        <w:spacing w:after="0" w:line="276" w:lineRule="auto"/>
        <w:ind w:firstLine="720"/>
        <w:rPr>
          <w:rFonts w:ascii="Times New Roman" w:hAnsi="Times New Roman" w:cs="Times New Roman"/>
        </w:rPr>
      </w:pPr>
      <w:r w:rsidRPr="00B07091">
        <w:rPr>
          <w:rFonts w:ascii="Times New Roman" w:hAnsi="Times New Roman" w:cs="Times New Roman"/>
        </w:rPr>
        <w:t>Here, w</w:t>
      </w:r>
      <w:r w:rsidR="0016373E" w:rsidRPr="00B07091">
        <w:rPr>
          <w:rFonts w:ascii="Times New Roman" w:hAnsi="Times New Roman" w:cs="Times New Roman"/>
        </w:rPr>
        <w:t>e</w:t>
      </w:r>
      <w:r w:rsidR="007C58B3" w:rsidRPr="00B07091">
        <w:rPr>
          <w:rFonts w:ascii="Times New Roman" w:hAnsi="Times New Roman" w:cs="Times New Roman"/>
        </w:rPr>
        <w:t xml:space="preserve"> applied</w:t>
      </w:r>
      <w:r w:rsidR="0016373E" w:rsidRPr="00B07091">
        <w:rPr>
          <w:rFonts w:ascii="Times New Roman" w:hAnsi="Times New Roman" w:cs="Times New Roman"/>
        </w:rPr>
        <w:t xml:space="preserve"> </w:t>
      </w:r>
      <w:r w:rsidR="007C58B3" w:rsidRPr="00B07091">
        <w:rPr>
          <w:rFonts w:ascii="Times New Roman" w:hAnsi="Times New Roman" w:cs="Times New Roman"/>
        </w:rPr>
        <w:t xml:space="preserve">a </w:t>
      </w:r>
      <w:r w:rsidR="0016373E" w:rsidRPr="00B07091">
        <w:rPr>
          <w:rFonts w:ascii="Times New Roman" w:hAnsi="Times New Roman" w:cs="Times New Roman"/>
        </w:rPr>
        <w:t xml:space="preserve">Gompertz state-space model </w:t>
      </w:r>
      <w:r w:rsidR="00AA54A3" w:rsidRPr="00B07091">
        <w:rPr>
          <w:rFonts w:ascii="Times New Roman" w:hAnsi="Times New Roman" w:cs="Times New Roman"/>
        </w:rPr>
        <w:t xml:space="preserve"> </w:t>
      </w:r>
      <w:r w:rsidR="0088704B" w:rsidRPr="00B07091">
        <w:rPr>
          <w:rFonts w:ascii="Times New Roman" w:hAnsi="Times New Roman" w:cs="Times New Roman"/>
          <w:noProof/>
        </w:rPr>
        <w:t>(12, 16)</w:t>
      </w:r>
      <w:r w:rsidR="00AA54A3" w:rsidRPr="00B07091" w:rsidDel="00AA54A3">
        <w:rPr>
          <w:rFonts w:ascii="Times New Roman" w:hAnsi="Times New Roman" w:cs="Times New Roman"/>
        </w:rPr>
        <w:t xml:space="preserve"> </w:t>
      </w:r>
      <w:r w:rsidR="0016373E" w:rsidRPr="00B07091">
        <w:rPr>
          <w:rFonts w:ascii="Times New Roman" w:hAnsi="Times New Roman" w:cs="Times New Roman"/>
        </w:rPr>
        <w:t>on 37</w:t>
      </w:r>
      <w:r w:rsidR="002C3B54" w:rsidRPr="00B07091">
        <w:rPr>
          <w:rFonts w:ascii="Times New Roman" w:hAnsi="Times New Roman" w:cs="Times New Roman"/>
        </w:rPr>
        <w:t>-</w:t>
      </w:r>
      <w:r w:rsidR="0016373E" w:rsidRPr="00B07091">
        <w:rPr>
          <w:rFonts w:ascii="Times New Roman" w:hAnsi="Times New Roman" w:cs="Times New Roman"/>
        </w:rPr>
        <w:t>years lon</w:t>
      </w:r>
      <w:r w:rsidR="007C58B3" w:rsidRPr="00B07091">
        <w:rPr>
          <w:rFonts w:ascii="Times New Roman" w:hAnsi="Times New Roman" w:cs="Times New Roman"/>
        </w:rPr>
        <w:t>g</w:t>
      </w:r>
      <w:r w:rsidR="0016373E" w:rsidRPr="00B07091">
        <w:rPr>
          <w:rFonts w:ascii="Times New Roman" w:hAnsi="Times New Roman" w:cs="Times New Roman"/>
        </w:rPr>
        <w:t xml:space="preserve"> </w:t>
      </w:r>
      <w:r w:rsidR="007C58B3" w:rsidRPr="00B07091">
        <w:rPr>
          <w:rFonts w:ascii="Times New Roman" w:hAnsi="Times New Roman" w:cs="Times New Roman"/>
        </w:rPr>
        <w:t xml:space="preserve">survey </w:t>
      </w:r>
      <w:r w:rsidR="0016373E" w:rsidRPr="00B07091">
        <w:rPr>
          <w:rFonts w:ascii="Times New Roman" w:hAnsi="Times New Roman" w:cs="Times New Roman"/>
        </w:rPr>
        <w:t>time series of BS capelin</w:t>
      </w:r>
      <w:r w:rsidR="008F2466" w:rsidRPr="00B07091">
        <w:rPr>
          <w:rFonts w:ascii="Times New Roman" w:hAnsi="Times New Roman" w:cs="Times New Roman"/>
        </w:rPr>
        <w:t xml:space="preserve"> and</w:t>
      </w:r>
      <w:r w:rsidR="0016373E" w:rsidRPr="00B07091">
        <w:rPr>
          <w:rFonts w:ascii="Times New Roman" w:hAnsi="Times New Roman" w:cs="Times New Roman"/>
        </w:rPr>
        <w:t xml:space="preserve"> NEA cod</w:t>
      </w:r>
      <w:r w:rsidR="007C58B3" w:rsidRPr="00B07091">
        <w:rPr>
          <w:rFonts w:ascii="Times New Roman" w:hAnsi="Times New Roman" w:cs="Times New Roman"/>
        </w:rPr>
        <w:t xml:space="preserve"> </w:t>
      </w:r>
      <w:r w:rsidR="0088704B" w:rsidRPr="00B07091">
        <w:rPr>
          <w:rFonts w:ascii="Times New Roman" w:hAnsi="Times New Roman" w:cs="Times New Roman"/>
          <w:noProof/>
        </w:rPr>
        <w:t>(24)</w:t>
      </w:r>
      <w:r w:rsidR="00280274" w:rsidRPr="00B07091">
        <w:rPr>
          <w:rFonts w:ascii="Times New Roman" w:hAnsi="Times New Roman" w:cs="Times New Roman"/>
        </w:rPr>
        <w:t xml:space="preserve"> aiming at </w:t>
      </w:r>
      <w:r w:rsidR="00FA450F" w:rsidRPr="00B07091">
        <w:rPr>
          <w:rFonts w:ascii="Times New Roman" w:hAnsi="Times New Roman" w:cs="Times New Roman"/>
        </w:rPr>
        <w:t>(</w:t>
      </w:r>
      <w:proofErr w:type="spellStart"/>
      <w:r w:rsidR="00FA450F" w:rsidRPr="00B07091">
        <w:rPr>
          <w:rFonts w:ascii="Times New Roman" w:hAnsi="Times New Roman" w:cs="Times New Roman"/>
        </w:rPr>
        <w:t>i</w:t>
      </w:r>
      <w:proofErr w:type="spellEnd"/>
      <w:r w:rsidR="00FA450F" w:rsidRPr="00B07091">
        <w:rPr>
          <w:rFonts w:ascii="Times New Roman" w:hAnsi="Times New Roman" w:cs="Times New Roman"/>
        </w:rPr>
        <w:t>) assess</w:t>
      </w:r>
      <w:r w:rsidR="00280274" w:rsidRPr="00B07091">
        <w:rPr>
          <w:rFonts w:ascii="Times New Roman" w:hAnsi="Times New Roman" w:cs="Times New Roman"/>
        </w:rPr>
        <w:t>ing</w:t>
      </w:r>
      <w:r w:rsidR="00FA450F" w:rsidRPr="00B07091">
        <w:rPr>
          <w:rFonts w:ascii="Times New Roman" w:hAnsi="Times New Roman" w:cs="Times New Roman"/>
        </w:rPr>
        <w:t xml:space="preserve"> whether </w:t>
      </w:r>
      <w:r w:rsidR="00812206" w:rsidRPr="00B07091">
        <w:rPr>
          <w:rFonts w:ascii="Times New Roman" w:hAnsi="Times New Roman" w:cs="Times New Roman"/>
        </w:rPr>
        <w:t xml:space="preserve">there is a linear or non-linear interaction between </w:t>
      </w:r>
      <w:r w:rsidR="00FA450F" w:rsidRPr="00B07091">
        <w:rPr>
          <w:rFonts w:ascii="Times New Roman" w:hAnsi="Times New Roman" w:cs="Times New Roman"/>
        </w:rPr>
        <w:t xml:space="preserve">cod and </w:t>
      </w:r>
      <w:r w:rsidR="00234D03" w:rsidRPr="00B07091">
        <w:rPr>
          <w:rFonts w:ascii="Times New Roman" w:hAnsi="Times New Roman" w:cs="Times New Roman"/>
        </w:rPr>
        <w:t>capelin</w:t>
      </w:r>
      <w:r w:rsidR="00FA450F" w:rsidRPr="00B07091">
        <w:rPr>
          <w:rFonts w:ascii="Times New Roman" w:hAnsi="Times New Roman" w:cs="Times New Roman"/>
        </w:rPr>
        <w:t>, (ii) understand</w:t>
      </w:r>
      <w:r w:rsidR="00280274" w:rsidRPr="00B07091">
        <w:rPr>
          <w:rFonts w:ascii="Times New Roman" w:hAnsi="Times New Roman" w:cs="Times New Roman"/>
        </w:rPr>
        <w:t>ing</w:t>
      </w:r>
      <w:r w:rsidR="00FA450F" w:rsidRPr="00B07091">
        <w:rPr>
          <w:rFonts w:ascii="Times New Roman" w:hAnsi="Times New Roman" w:cs="Times New Roman"/>
        </w:rPr>
        <w:t xml:space="preserve"> what </w:t>
      </w:r>
      <w:r w:rsidR="00234D03" w:rsidRPr="00B07091">
        <w:rPr>
          <w:rFonts w:ascii="Times New Roman" w:hAnsi="Times New Roman" w:cs="Times New Roman"/>
        </w:rPr>
        <w:t>a non-linear</w:t>
      </w:r>
      <w:r w:rsidR="00FA450F" w:rsidRPr="00B07091">
        <w:rPr>
          <w:rFonts w:ascii="Times New Roman" w:hAnsi="Times New Roman" w:cs="Times New Roman"/>
        </w:rPr>
        <w:t xml:space="preserve"> </w:t>
      </w:r>
      <w:r w:rsidR="00234D03" w:rsidRPr="00B07091">
        <w:rPr>
          <w:rFonts w:ascii="Times New Roman" w:hAnsi="Times New Roman" w:cs="Times New Roman"/>
        </w:rPr>
        <w:t xml:space="preserve">dynamics </w:t>
      </w:r>
      <w:r w:rsidR="00FA450F" w:rsidRPr="00B07091">
        <w:rPr>
          <w:rFonts w:ascii="Times New Roman" w:hAnsi="Times New Roman" w:cs="Times New Roman"/>
        </w:rPr>
        <w:t xml:space="preserve">means for the population </w:t>
      </w:r>
      <w:r w:rsidR="00234D03" w:rsidRPr="00B07091">
        <w:rPr>
          <w:rFonts w:ascii="Times New Roman" w:hAnsi="Times New Roman" w:cs="Times New Roman"/>
        </w:rPr>
        <w:t>and the trophic interactions</w:t>
      </w:r>
      <w:r w:rsidR="00FA450F" w:rsidRPr="00B07091">
        <w:rPr>
          <w:rFonts w:ascii="Times New Roman" w:hAnsi="Times New Roman" w:cs="Times New Roman"/>
        </w:rPr>
        <w:t xml:space="preserve"> in the system.</w:t>
      </w:r>
    </w:p>
    <w:p w14:paraId="4A82D3D7" w14:textId="77777777" w:rsidR="00ED4F95" w:rsidRPr="00B07091" w:rsidRDefault="00ED4F95" w:rsidP="00EB64F3">
      <w:pPr>
        <w:spacing w:after="0" w:line="276" w:lineRule="auto"/>
        <w:ind w:firstLine="720"/>
        <w:rPr>
          <w:rFonts w:ascii="Times New Roman" w:hAnsi="Times New Roman" w:cs="Times New Roman"/>
        </w:rPr>
      </w:pPr>
    </w:p>
    <w:p w14:paraId="124E81DF" w14:textId="7A69CF50" w:rsidR="00F6703E" w:rsidRPr="00B07091" w:rsidRDefault="00F1237D" w:rsidP="00EB64F3">
      <w:pPr>
        <w:spacing w:after="200" w:line="276" w:lineRule="auto"/>
        <w:rPr>
          <w:rFonts w:ascii="AdvOTd67905e7" w:hAnsi="AdvOTd67905e7" w:cs="AdvOTd67905e7"/>
          <w:color w:val="58BA47"/>
          <w:sz w:val="32"/>
          <w:szCs w:val="32"/>
        </w:rPr>
      </w:pPr>
      <w:r w:rsidRPr="00B07091">
        <w:rPr>
          <w:rFonts w:ascii="AdvOTd67905e7" w:hAnsi="AdvOTd67905e7" w:cs="AdvOTd67905e7"/>
          <w:color w:val="58BA47"/>
          <w:sz w:val="32"/>
          <w:szCs w:val="32"/>
        </w:rPr>
        <w:t xml:space="preserve">2. </w:t>
      </w:r>
      <w:r w:rsidR="00F6703E" w:rsidRPr="00B07091">
        <w:rPr>
          <w:rFonts w:ascii="AdvOTd67905e7" w:hAnsi="AdvOTd67905e7" w:cs="AdvOTd67905e7"/>
          <w:color w:val="58BA47"/>
          <w:sz w:val="32"/>
          <w:szCs w:val="32"/>
        </w:rPr>
        <w:t>Methods</w:t>
      </w:r>
    </w:p>
    <w:p w14:paraId="68D8FCD6" w14:textId="6B8F7483" w:rsidR="00E04902" w:rsidRPr="00B07091" w:rsidRDefault="00D464BF" w:rsidP="00EB64F3">
      <w:pPr>
        <w:spacing w:after="0" w:line="276" w:lineRule="auto"/>
        <w:ind w:firstLine="720"/>
        <w:rPr>
          <w:rFonts w:ascii="Times New Roman" w:hAnsi="Times New Roman" w:cs="Times New Roman"/>
        </w:rPr>
      </w:pPr>
      <w:r w:rsidRPr="00B07091">
        <w:rPr>
          <w:rFonts w:ascii="Times New Roman" w:hAnsi="Times New Roman" w:cs="Times New Roman"/>
          <w:bCs/>
        </w:rPr>
        <w:t xml:space="preserve">We </w:t>
      </w:r>
      <w:r w:rsidR="00CB0EDE" w:rsidRPr="00B07091">
        <w:rPr>
          <w:rFonts w:ascii="Times New Roman" w:hAnsi="Times New Roman" w:cs="Times New Roman"/>
          <w:bCs/>
        </w:rPr>
        <w:t>analysed</w:t>
      </w:r>
      <w:r w:rsidRPr="00B07091">
        <w:rPr>
          <w:rFonts w:ascii="Times New Roman" w:hAnsi="Times New Roman" w:cs="Times New Roman"/>
          <w:bCs/>
        </w:rPr>
        <w:t xml:space="preserve"> </w:t>
      </w:r>
      <w:r w:rsidR="0016373E" w:rsidRPr="00B07091">
        <w:rPr>
          <w:rFonts w:ascii="Times New Roman" w:hAnsi="Times New Roman" w:cs="Times New Roman"/>
          <w:bCs/>
        </w:rPr>
        <w:t xml:space="preserve">jointly </w:t>
      </w:r>
      <w:r w:rsidRPr="00B07091">
        <w:rPr>
          <w:rFonts w:ascii="Times New Roman" w:hAnsi="Times New Roman" w:cs="Times New Roman"/>
          <w:bCs/>
        </w:rPr>
        <w:t>the change in population abundance for the</w:t>
      </w:r>
      <w:r w:rsidR="00E04902" w:rsidRPr="00B07091">
        <w:rPr>
          <w:rFonts w:ascii="Times New Roman" w:hAnsi="Times New Roman" w:cs="Times New Roman"/>
          <w:bCs/>
        </w:rPr>
        <w:t xml:space="preserve"> Barents Sea </w:t>
      </w:r>
      <w:r w:rsidR="00E96A63" w:rsidRPr="00B07091">
        <w:rPr>
          <w:rFonts w:ascii="Times New Roman" w:hAnsi="Times New Roman" w:cs="Times New Roman"/>
          <w:bCs/>
        </w:rPr>
        <w:t xml:space="preserve">(BS) </w:t>
      </w:r>
      <w:r w:rsidR="00E04902" w:rsidRPr="00B07091">
        <w:rPr>
          <w:rFonts w:ascii="Times New Roman" w:hAnsi="Times New Roman" w:cs="Times New Roman"/>
          <w:bCs/>
        </w:rPr>
        <w:t>capelin</w:t>
      </w:r>
      <w:r w:rsidR="00E04902" w:rsidRPr="00B07091">
        <w:rPr>
          <w:rFonts w:ascii="Times New Roman" w:hAnsi="Times New Roman" w:cs="Times New Roman"/>
        </w:rPr>
        <w:t xml:space="preserve"> and </w:t>
      </w:r>
      <w:r w:rsidR="00E04902" w:rsidRPr="00B07091">
        <w:rPr>
          <w:rFonts w:ascii="Times New Roman" w:hAnsi="Times New Roman" w:cs="Times New Roman"/>
          <w:bCs/>
        </w:rPr>
        <w:t>N</w:t>
      </w:r>
      <w:r w:rsidR="00E96A63" w:rsidRPr="00B07091">
        <w:rPr>
          <w:rFonts w:ascii="Times New Roman" w:hAnsi="Times New Roman" w:cs="Times New Roman"/>
          <w:bCs/>
        </w:rPr>
        <w:t>ortheast Arctic (N</w:t>
      </w:r>
      <w:r w:rsidR="00E04902" w:rsidRPr="00B07091">
        <w:rPr>
          <w:rFonts w:ascii="Times New Roman" w:hAnsi="Times New Roman" w:cs="Times New Roman"/>
          <w:bCs/>
        </w:rPr>
        <w:t>EA</w:t>
      </w:r>
      <w:r w:rsidR="00E96A63" w:rsidRPr="00B07091">
        <w:rPr>
          <w:rFonts w:ascii="Times New Roman" w:hAnsi="Times New Roman" w:cs="Times New Roman"/>
          <w:bCs/>
        </w:rPr>
        <w:t>)</w:t>
      </w:r>
      <w:r w:rsidR="00E04902" w:rsidRPr="00B07091">
        <w:rPr>
          <w:rFonts w:ascii="Times New Roman" w:hAnsi="Times New Roman" w:cs="Times New Roman"/>
          <w:bCs/>
        </w:rPr>
        <w:t xml:space="preserve"> cod</w:t>
      </w:r>
      <w:r w:rsidR="00E04902" w:rsidRPr="00B07091">
        <w:rPr>
          <w:rFonts w:ascii="Times New Roman" w:hAnsi="Times New Roman" w:cs="Times New Roman"/>
        </w:rPr>
        <w:t xml:space="preserve"> from the Barents Sea</w:t>
      </w:r>
      <w:r w:rsidR="00B854A4" w:rsidRPr="00B07091">
        <w:rPr>
          <w:rFonts w:ascii="Times New Roman" w:hAnsi="Times New Roman" w:cs="Times New Roman"/>
        </w:rPr>
        <w:t xml:space="preserve"> (f</w:t>
      </w:r>
      <w:r w:rsidR="004A31D0" w:rsidRPr="00B07091">
        <w:rPr>
          <w:rFonts w:ascii="Times New Roman" w:hAnsi="Times New Roman" w:cs="Times New Roman"/>
        </w:rPr>
        <w:t>igure 1)</w:t>
      </w:r>
      <w:r w:rsidRPr="00B07091">
        <w:rPr>
          <w:rFonts w:ascii="Times New Roman" w:hAnsi="Times New Roman" w:cs="Times New Roman"/>
        </w:rPr>
        <w:t>. Population</w:t>
      </w:r>
      <w:r w:rsidR="00E04902" w:rsidRPr="00B07091">
        <w:rPr>
          <w:rFonts w:ascii="Times New Roman" w:hAnsi="Times New Roman" w:cs="Times New Roman"/>
        </w:rPr>
        <w:t xml:space="preserve"> data (</w:t>
      </w:r>
      <w:r w:rsidR="00E04902" w:rsidRPr="00B07091">
        <w:rPr>
          <w:rFonts w:ascii="Times New Roman" w:eastAsia="Calibri" w:hAnsi="Times New Roman" w:cs="Times New Roman"/>
        </w:rPr>
        <w:t>1981-2019</w:t>
      </w:r>
      <w:r w:rsidR="00E04902" w:rsidRPr="00B07091">
        <w:rPr>
          <w:rFonts w:ascii="Times New Roman" w:hAnsi="Times New Roman" w:cs="Times New Roman"/>
        </w:rPr>
        <w:t>)</w:t>
      </w:r>
      <w:r w:rsidR="00E04902" w:rsidRPr="00B07091">
        <w:rPr>
          <w:rFonts w:ascii="Times New Roman" w:hAnsi="Times New Roman" w:cs="Times New Roman"/>
          <w:bCs/>
        </w:rPr>
        <w:t xml:space="preserve"> were </w:t>
      </w:r>
      <w:r w:rsidR="00100E77" w:rsidRPr="00B07091">
        <w:rPr>
          <w:rFonts w:ascii="Times New Roman" w:hAnsi="Times New Roman" w:cs="Times New Roman"/>
          <w:bCs/>
        </w:rPr>
        <w:t xml:space="preserve">published </w:t>
      </w:r>
      <w:r w:rsidR="00E04902" w:rsidRPr="00B07091">
        <w:rPr>
          <w:rFonts w:ascii="Times New Roman" w:hAnsi="Times New Roman" w:cs="Times New Roman"/>
          <w:bCs/>
        </w:rPr>
        <w:t xml:space="preserve">fish stock </w:t>
      </w:r>
      <w:r w:rsidR="00E04902" w:rsidRPr="00B07091">
        <w:rPr>
          <w:rFonts w:ascii="Times New Roman" w:hAnsi="Times New Roman" w:cs="Times New Roman"/>
        </w:rPr>
        <w:t xml:space="preserve">assessments </w:t>
      </w:r>
      <w:r w:rsidR="007F57F7" w:rsidRPr="00B07091">
        <w:rPr>
          <w:rFonts w:ascii="Times New Roman" w:hAnsi="Times New Roman" w:cs="Times New Roman"/>
        </w:rPr>
        <w:t xml:space="preserve">data </w:t>
      </w:r>
      <w:r w:rsidR="00E04902" w:rsidRPr="00B07091">
        <w:rPr>
          <w:rFonts w:ascii="Times New Roman" w:hAnsi="Times New Roman" w:cs="Times New Roman"/>
        </w:rPr>
        <w:t>(</w:t>
      </w:r>
      <w:r w:rsidR="00E04902" w:rsidRPr="00B07091">
        <w:rPr>
          <w:rFonts w:ascii="Times New Roman" w:eastAsia="Calibri" w:hAnsi="Times New Roman" w:cs="Times New Roman"/>
        </w:rPr>
        <w:t>table 9.4 for the capelin, table A3 for the cod</w:t>
      </w:r>
      <w:r w:rsidR="00E04902" w:rsidRPr="00B07091">
        <w:rPr>
          <w:rFonts w:ascii="Times New Roman" w:hAnsi="Times New Roman" w:cs="Times New Roman"/>
        </w:rPr>
        <w:t>)</w:t>
      </w:r>
      <w:r w:rsidR="00687BF2" w:rsidRPr="00B07091">
        <w:rPr>
          <w:rFonts w:ascii="Times New Roman" w:hAnsi="Times New Roman" w:cs="Times New Roman"/>
        </w:rPr>
        <w:t xml:space="preserve"> </w:t>
      </w:r>
      <w:r w:rsidR="0088704B" w:rsidRPr="00B07091">
        <w:rPr>
          <w:rFonts w:ascii="Times New Roman" w:hAnsi="Times New Roman" w:cs="Times New Roman"/>
          <w:noProof/>
        </w:rPr>
        <w:t>(24)</w:t>
      </w:r>
      <w:r w:rsidR="00E04902" w:rsidRPr="00B07091">
        <w:rPr>
          <w:rFonts w:ascii="Times New Roman" w:hAnsi="Times New Roman" w:cs="Times New Roman"/>
        </w:rPr>
        <w:t xml:space="preserve">. </w:t>
      </w:r>
      <w:r w:rsidRPr="00B07091">
        <w:rPr>
          <w:rFonts w:ascii="Times New Roman" w:hAnsi="Times New Roman" w:cs="Times New Roman"/>
        </w:rPr>
        <w:t>Capelin</w:t>
      </w:r>
      <w:r w:rsidR="00E04902" w:rsidRPr="00B07091">
        <w:rPr>
          <w:rFonts w:ascii="Times New Roman" w:hAnsi="Times New Roman" w:cs="Times New Roman"/>
        </w:rPr>
        <w:t xml:space="preserve"> stock size in numbers </w:t>
      </w:r>
      <w:r w:rsidRPr="00B07091">
        <w:rPr>
          <w:rFonts w:ascii="Times New Roman" w:hAnsi="Times New Roman" w:cs="Times New Roman"/>
        </w:rPr>
        <w:t xml:space="preserve">are </w:t>
      </w:r>
      <w:r w:rsidR="00E04902" w:rsidRPr="00B07091">
        <w:rPr>
          <w:rFonts w:ascii="Times New Roman" w:hAnsi="Times New Roman" w:cs="Times New Roman"/>
        </w:rPr>
        <w:t>estimate</w:t>
      </w:r>
      <w:r w:rsidRPr="00B07091">
        <w:rPr>
          <w:rFonts w:ascii="Times New Roman" w:hAnsi="Times New Roman" w:cs="Times New Roman"/>
        </w:rPr>
        <w:t>s</w:t>
      </w:r>
      <w:r w:rsidR="00E04902" w:rsidRPr="00B07091">
        <w:rPr>
          <w:rFonts w:ascii="Times New Roman" w:hAnsi="Times New Roman" w:cs="Times New Roman"/>
        </w:rPr>
        <w:t xml:space="preserve"> from the </w:t>
      </w:r>
      <w:r w:rsidR="00D978D5" w:rsidRPr="00B07091">
        <w:rPr>
          <w:rFonts w:ascii="Times New Roman" w:hAnsi="Times New Roman" w:cs="Times New Roman"/>
        </w:rPr>
        <w:t>August-September</w:t>
      </w:r>
      <w:r w:rsidR="00E04902" w:rsidRPr="00B07091">
        <w:rPr>
          <w:rFonts w:ascii="Times New Roman" w:hAnsi="Times New Roman" w:cs="Times New Roman"/>
        </w:rPr>
        <w:t xml:space="preserve"> acoustic survey</w:t>
      </w:r>
      <w:r w:rsidR="002D7E38" w:rsidRPr="00B07091">
        <w:rPr>
          <w:rFonts w:ascii="Times New Roman" w:hAnsi="Times New Roman" w:cs="Times New Roman"/>
        </w:rPr>
        <w:t>,</w:t>
      </w:r>
      <w:r w:rsidR="00E04902" w:rsidRPr="00B07091">
        <w:rPr>
          <w:rFonts w:ascii="Times New Roman" w:hAnsi="Times New Roman" w:cs="Times New Roman"/>
        </w:rPr>
        <w:t xml:space="preserve"> and </w:t>
      </w:r>
      <w:r w:rsidRPr="00B07091">
        <w:rPr>
          <w:rFonts w:ascii="Times New Roman" w:hAnsi="Times New Roman" w:cs="Times New Roman"/>
        </w:rPr>
        <w:t xml:space="preserve">cod </w:t>
      </w:r>
      <w:r w:rsidR="002D7E38" w:rsidRPr="00B07091">
        <w:rPr>
          <w:rFonts w:ascii="Times New Roman" w:hAnsi="Times New Roman" w:cs="Times New Roman"/>
        </w:rPr>
        <w:t>abundance</w:t>
      </w:r>
      <w:r w:rsidR="00E04902" w:rsidRPr="00B07091">
        <w:rPr>
          <w:rFonts w:ascii="Times New Roman" w:hAnsi="Times New Roman" w:cs="Times New Roman"/>
        </w:rPr>
        <w:t xml:space="preserve"> </w:t>
      </w:r>
      <w:r w:rsidRPr="00B07091">
        <w:rPr>
          <w:rFonts w:ascii="Times New Roman" w:hAnsi="Times New Roman" w:cs="Times New Roman"/>
        </w:rPr>
        <w:t xml:space="preserve">are </w:t>
      </w:r>
      <w:r w:rsidR="00E04902" w:rsidRPr="00B07091">
        <w:rPr>
          <w:rFonts w:ascii="Times New Roman" w:hAnsi="Times New Roman" w:cs="Times New Roman"/>
        </w:rPr>
        <w:t xml:space="preserve">indices </w:t>
      </w:r>
      <w:r w:rsidRPr="00B07091">
        <w:rPr>
          <w:rFonts w:ascii="Times New Roman" w:hAnsi="Times New Roman" w:cs="Times New Roman"/>
        </w:rPr>
        <w:t xml:space="preserve">in numbers </w:t>
      </w:r>
      <w:r w:rsidR="00E04902" w:rsidRPr="00B07091">
        <w:rPr>
          <w:rFonts w:ascii="Times New Roman" w:hAnsi="Times New Roman" w:cs="Times New Roman"/>
        </w:rPr>
        <w:t>from the January-March bottom tra</w:t>
      </w:r>
      <w:r w:rsidR="00B854A4" w:rsidRPr="00B07091">
        <w:rPr>
          <w:rFonts w:ascii="Times New Roman" w:hAnsi="Times New Roman" w:cs="Times New Roman"/>
        </w:rPr>
        <w:t>wl surveys in the Barents Sea (f</w:t>
      </w:r>
      <w:r w:rsidR="00E04902" w:rsidRPr="00B07091">
        <w:rPr>
          <w:rFonts w:ascii="Times New Roman" w:hAnsi="Times New Roman" w:cs="Times New Roman"/>
        </w:rPr>
        <w:t xml:space="preserve">igure </w:t>
      </w:r>
      <w:r w:rsidR="00FB00A7" w:rsidRPr="00B07091">
        <w:rPr>
          <w:rFonts w:ascii="Times New Roman" w:hAnsi="Times New Roman" w:cs="Times New Roman"/>
        </w:rPr>
        <w:t>2</w:t>
      </w:r>
      <w:r w:rsidR="00E04902" w:rsidRPr="00B07091">
        <w:rPr>
          <w:rFonts w:ascii="Times New Roman" w:hAnsi="Times New Roman" w:cs="Times New Roman"/>
        </w:rPr>
        <w:t>).</w:t>
      </w:r>
    </w:p>
    <w:p w14:paraId="676879C1" w14:textId="3FEE555A" w:rsidR="00E04902" w:rsidRPr="00B07091" w:rsidRDefault="00E04902" w:rsidP="00EB64F3">
      <w:pPr>
        <w:spacing w:after="0" w:line="276" w:lineRule="auto"/>
        <w:rPr>
          <w:rFonts w:ascii="Times New Roman" w:hAnsi="Times New Roman" w:cs="Times New Roman"/>
        </w:rPr>
      </w:pPr>
      <w:r w:rsidRPr="00B07091">
        <w:rPr>
          <w:rFonts w:ascii="Times New Roman" w:hAnsi="Times New Roman" w:cs="Times New Roman"/>
        </w:rPr>
        <w:tab/>
      </w:r>
      <w:r w:rsidR="00D464BF" w:rsidRPr="00B07091">
        <w:rPr>
          <w:rFonts w:ascii="Times New Roman" w:hAnsi="Times New Roman" w:cs="Times New Roman"/>
        </w:rPr>
        <w:t>In addition, we used t</w:t>
      </w:r>
      <w:r w:rsidRPr="00B07091">
        <w:rPr>
          <w:rFonts w:ascii="Times New Roman" w:hAnsi="Times New Roman" w:cs="Times New Roman"/>
        </w:rPr>
        <w:t>wo climatic variables (the</w:t>
      </w:r>
      <w:r w:rsidR="003D0F59" w:rsidRPr="00B07091">
        <w:rPr>
          <w:rFonts w:ascii="Times New Roman" w:hAnsi="Times New Roman" w:cs="Times New Roman"/>
        </w:rPr>
        <w:t xml:space="preserve"> Kola transect</w:t>
      </w:r>
      <w:r w:rsidRPr="00B07091">
        <w:rPr>
          <w:rFonts w:ascii="Times New Roman" w:hAnsi="Times New Roman" w:cs="Times New Roman"/>
        </w:rPr>
        <w:t xml:space="preserve"> sea temperature, ST, and the </w:t>
      </w:r>
      <w:r w:rsidR="002D7E38" w:rsidRPr="00B07091">
        <w:rPr>
          <w:rFonts w:ascii="Times New Roman" w:hAnsi="Times New Roman" w:cs="Times New Roman"/>
        </w:rPr>
        <w:t xml:space="preserve">winter </w:t>
      </w:r>
      <w:r w:rsidRPr="00B07091">
        <w:rPr>
          <w:rFonts w:ascii="Times New Roman" w:hAnsi="Times New Roman" w:cs="Times New Roman"/>
        </w:rPr>
        <w:t xml:space="preserve">North Atlantic Oscillation, </w:t>
      </w:r>
      <w:proofErr w:type="spellStart"/>
      <w:r w:rsidR="002D7E38" w:rsidRPr="00B07091">
        <w:rPr>
          <w:rFonts w:ascii="Times New Roman" w:hAnsi="Times New Roman" w:cs="Times New Roman"/>
        </w:rPr>
        <w:t>w</w:t>
      </w:r>
      <w:r w:rsidRPr="00B07091">
        <w:rPr>
          <w:rFonts w:ascii="Times New Roman" w:hAnsi="Times New Roman" w:cs="Times New Roman"/>
        </w:rPr>
        <w:t>NAO</w:t>
      </w:r>
      <w:proofErr w:type="spellEnd"/>
      <w:r w:rsidRPr="00B07091">
        <w:rPr>
          <w:rFonts w:ascii="Times New Roman" w:hAnsi="Times New Roman" w:cs="Times New Roman"/>
        </w:rPr>
        <w:t xml:space="preserve">) as potential environmental drivers of </w:t>
      </w:r>
      <w:r w:rsidR="00D978D5" w:rsidRPr="00B07091">
        <w:rPr>
          <w:rFonts w:ascii="Times New Roman" w:hAnsi="Times New Roman" w:cs="Times New Roman"/>
        </w:rPr>
        <w:t>capelin</w:t>
      </w:r>
      <w:r w:rsidRPr="00B07091">
        <w:rPr>
          <w:rFonts w:ascii="Times New Roman" w:hAnsi="Times New Roman" w:cs="Times New Roman"/>
        </w:rPr>
        <w:t xml:space="preserve"> and cod population dynamics </w:t>
      </w:r>
      <w:r w:rsidR="0088704B" w:rsidRPr="00B07091">
        <w:rPr>
          <w:rFonts w:ascii="Times New Roman" w:hAnsi="Times New Roman" w:cs="Times New Roman"/>
          <w:noProof/>
        </w:rPr>
        <w:t>(e.g. 22, 23)</w:t>
      </w:r>
      <w:r w:rsidRPr="00B07091">
        <w:rPr>
          <w:rFonts w:ascii="Times New Roman" w:hAnsi="Times New Roman" w:cs="Times New Roman"/>
        </w:rPr>
        <w:t>. The sea temperature (1921-201</w:t>
      </w:r>
      <w:r w:rsidR="00D978D5" w:rsidRPr="00B07091">
        <w:rPr>
          <w:rFonts w:ascii="Times New Roman" w:hAnsi="Times New Roman" w:cs="Times New Roman"/>
        </w:rPr>
        <w:t>9</w:t>
      </w:r>
      <w:r w:rsidRPr="00B07091">
        <w:rPr>
          <w:rFonts w:ascii="Times New Roman" w:hAnsi="Times New Roman" w:cs="Times New Roman"/>
        </w:rPr>
        <w:t xml:space="preserve">) is an aggregated average </w:t>
      </w:r>
      <w:r w:rsidR="00FB00A7" w:rsidRPr="00B07091">
        <w:rPr>
          <w:rFonts w:ascii="Times New Roman" w:hAnsi="Times New Roman" w:cs="Times New Roman"/>
        </w:rPr>
        <w:t>over the upper 200 m</w:t>
      </w:r>
      <w:r w:rsidRPr="00B07091">
        <w:rPr>
          <w:rFonts w:ascii="Times New Roman" w:hAnsi="Times New Roman" w:cs="Times New Roman"/>
        </w:rPr>
        <w:t xml:space="preserve"> at five stations </w:t>
      </w:r>
      <w:r w:rsidR="001F52FE" w:rsidRPr="00B07091">
        <w:rPr>
          <w:rFonts w:ascii="Times New Roman" w:hAnsi="Times New Roman" w:cs="Times New Roman"/>
        </w:rPr>
        <w:t xml:space="preserve">(3-7) </w:t>
      </w:r>
      <w:r w:rsidRPr="00B07091">
        <w:rPr>
          <w:rFonts w:ascii="Times New Roman" w:hAnsi="Times New Roman" w:cs="Times New Roman"/>
        </w:rPr>
        <w:t xml:space="preserve">on the Kola meridian transect (33°30'E, 70°30'-72°30'N) in the Barents Sea </w:t>
      </w:r>
      <w:r w:rsidR="00D627C7" w:rsidRPr="00B07091">
        <w:rPr>
          <w:rFonts w:ascii="Times New Roman" w:hAnsi="Times New Roman" w:cs="Times New Roman"/>
          <w:noProof/>
        </w:rPr>
        <w:t>(http://www.pinro.ru/; 25)</w:t>
      </w:r>
      <w:r w:rsidRPr="00B07091">
        <w:rPr>
          <w:rFonts w:ascii="Times New Roman" w:hAnsi="Times New Roman" w:cs="Times New Roman"/>
        </w:rPr>
        <w:t>. The</w:t>
      </w:r>
      <w:r w:rsidR="00100E77" w:rsidRPr="00B07091">
        <w:rPr>
          <w:rFonts w:ascii="Times New Roman" w:hAnsi="Times New Roman" w:cs="Times New Roman"/>
        </w:rPr>
        <w:t xml:space="preserve"> December to March</w:t>
      </w:r>
      <w:r w:rsidRPr="00B07091">
        <w:rPr>
          <w:rFonts w:ascii="Times New Roman" w:hAnsi="Times New Roman" w:cs="Times New Roman"/>
        </w:rPr>
        <w:t xml:space="preserve"> North Atlantic Oscillation</w:t>
      </w:r>
      <w:r w:rsidR="00100E77" w:rsidRPr="00B07091">
        <w:rPr>
          <w:rFonts w:ascii="Times New Roman" w:hAnsi="Times New Roman" w:cs="Times New Roman"/>
        </w:rPr>
        <w:t xml:space="preserve"> index</w:t>
      </w:r>
      <w:r w:rsidR="005A7A1A" w:rsidRPr="00B07091">
        <w:rPr>
          <w:rFonts w:ascii="Times New Roman" w:hAnsi="Times New Roman" w:cs="Times New Roman"/>
        </w:rPr>
        <w:t xml:space="preserve"> </w:t>
      </w:r>
      <w:r w:rsidR="00D627C7" w:rsidRPr="00B07091">
        <w:rPr>
          <w:rFonts w:ascii="Times New Roman" w:hAnsi="Times New Roman" w:cs="Times New Roman"/>
          <w:noProof/>
        </w:rPr>
        <w:t>(26)</w:t>
      </w:r>
      <w:r w:rsidR="001F52FE" w:rsidRPr="00B07091" w:rsidDel="001F52FE">
        <w:rPr>
          <w:rFonts w:ascii="Times New Roman" w:hAnsi="Times New Roman" w:cs="Times New Roman"/>
        </w:rPr>
        <w:t xml:space="preserve"> </w:t>
      </w:r>
      <w:r w:rsidRPr="00B07091">
        <w:rPr>
          <w:rFonts w:ascii="Times New Roman" w:hAnsi="Times New Roman" w:cs="Times New Roman"/>
        </w:rPr>
        <w:t>represents North Atlantic-scale climate effects (1964-201</w:t>
      </w:r>
      <w:r w:rsidR="00D978D5" w:rsidRPr="00B07091">
        <w:rPr>
          <w:rFonts w:ascii="Times New Roman" w:hAnsi="Times New Roman" w:cs="Times New Roman"/>
        </w:rPr>
        <w:t>9</w:t>
      </w:r>
      <w:r w:rsidRPr="00B07091">
        <w:rPr>
          <w:rFonts w:ascii="Times New Roman" w:hAnsi="Times New Roman" w:cs="Times New Roman"/>
        </w:rPr>
        <w:t>).</w:t>
      </w:r>
      <w:r w:rsidR="00CA47F9" w:rsidRPr="00B07091">
        <w:rPr>
          <w:rFonts w:ascii="Times New Roman" w:hAnsi="Times New Roman" w:cs="Times New Roman"/>
        </w:rPr>
        <w:t xml:space="preserve"> </w:t>
      </w:r>
      <w:r w:rsidR="000421D5" w:rsidRPr="00B07091">
        <w:rPr>
          <w:rFonts w:ascii="Times New Roman" w:hAnsi="Times New Roman" w:cs="Times New Roman"/>
        </w:rPr>
        <w:t xml:space="preserve">Both </w:t>
      </w:r>
      <w:r w:rsidR="00CA47F9" w:rsidRPr="00B07091">
        <w:rPr>
          <w:rFonts w:ascii="Times New Roman" w:hAnsi="Times New Roman" w:cs="Times New Roman"/>
        </w:rPr>
        <w:t>ST and NAO were standardized</w:t>
      </w:r>
      <w:r w:rsidR="000421D5" w:rsidRPr="00B07091">
        <w:rPr>
          <w:rFonts w:ascii="Times New Roman" w:hAnsi="Times New Roman" w:cs="Times New Roman"/>
        </w:rPr>
        <w:t xml:space="preserve"> to z-scores</w:t>
      </w:r>
      <w:r w:rsidR="00CA47F9" w:rsidRPr="00B07091">
        <w:rPr>
          <w:rFonts w:ascii="Times New Roman" w:hAnsi="Times New Roman" w:cs="Times New Roman"/>
        </w:rPr>
        <w:t>.</w:t>
      </w:r>
    </w:p>
    <w:p w14:paraId="2E13BD0D" w14:textId="77777777" w:rsidR="001E73A4" w:rsidRPr="00B07091" w:rsidRDefault="001E73A4" w:rsidP="00EB64F3">
      <w:pPr>
        <w:spacing w:after="0" w:line="276" w:lineRule="auto"/>
        <w:rPr>
          <w:rFonts w:ascii="AdvOTd67905e7" w:hAnsi="AdvOTd67905e7" w:cs="AdvOTd67905e7"/>
          <w:b/>
          <w:sz w:val="28"/>
          <w:szCs w:val="28"/>
        </w:rPr>
      </w:pPr>
    </w:p>
    <w:p w14:paraId="2FA68473" w14:textId="77777777" w:rsidR="009D2CD8" w:rsidRPr="00B07091" w:rsidRDefault="009D2CD8" w:rsidP="00EB64F3">
      <w:pPr>
        <w:spacing w:after="0" w:line="276" w:lineRule="auto"/>
        <w:rPr>
          <w:rFonts w:ascii="AdvOTd67905e7" w:hAnsi="AdvOTd67905e7" w:cs="AdvOTd67905e7"/>
          <w:b/>
          <w:sz w:val="28"/>
          <w:szCs w:val="28"/>
        </w:rPr>
      </w:pPr>
    </w:p>
    <w:p w14:paraId="464870B1" w14:textId="10949861" w:rsidR="00E04902" w:rsidRPr="00B07091" w:rsidRDefault="00E04902" w:rsidP="00EB64F3">
      <w:pPr>
        <w:spacing w:after="0" w:line="276" w:lineRule="auto"/>
        <w:rPr>
          <w:rFonts w:ascii="AdvOTd67905e7" w:hAnsi="AdvOTd67905e7" w:cs="AdvOTd67905e7"/>
          <w:b/>
          <w:sz w:val="28"/>
          <w:szCs w:val="28"/>
        </w:rPr>
      </w:pPr>
      <w:r w:rsidRPr="00B07091">
        <w:rPr>
          <w:rFonts w:ascii="AdvOTd67905e7" w:hAnsi="AdvOTd67905e7" w:cs="AdvOTd67905e7"/>
          <w:b/>
          <w:sz w:val="28"/>
          <w:szCs w:val="28"/>
        </w:rPr>
        <w:t>Model description</w:t>
      </w:r>
    </w:p>
    <w:p w14:paraId="054D66D2" w14:textId="5AE6BCE2" w:rsidR="00EF2386" w:rsidRPr="00B07091" w:rsidRDefault="001E73A4" w:rsidP="00EB64F3">
      <w:pPr>
        <w:spacing w:after="0" w:line="276" w:lineRule="auto"/>
        <w:rPr>
          <w:rFonts w:ascii="Times New Roman" w:hAnsi="Times New Roman" w:cs="Times New Roman"/>
        </w:rPr>
      </w:pPr>
      <w:r w:rsidRPr="00B07091">
        <w:rPr>
          <w:rFonts w:ascii="Times New Roman" w:hAnsi="Times New Roman" w:cs="Times New Roman"/>
        </w:rPr>
        <w:t>The</w:t>
      </w:r>
      <w:r w:rsidR="00E04902" w:rsidRPr="00B07091" w:rsidDel="003522B6">
        <w:rPr>
          <w:rFonts w:ascii="Times New Roman" w:hAnsi="Times New Roman" w:cs="Times New Roman"/>
        </w:rPr>
        <w:t xml:space="preserve"> analyses were based on </w:t>
      </w:r>
      <w:r w:rsidR="00B2178B" w:rsidRPr="00B07091">
        <w:rPr>
          <w:rFonts w:ascii="Times New Roman" w:hAnsi="Times New Roman" w:cs="Times New Roman"/>
        </w:rPr>
        <w:t xml:space="preserve">a </w:t>
      </w:r>
      <w:r w:rsidRPr="00B07091">
        <w:rPr>
          <w:rFonts w:ascii="Times New Roman" w:hAnsi="Times New Roman" w:cs="Times New Roman"/>
        </w:rPr>
        <w:t>Gompertz state-space model</w:t>
      </w:r>
      <w:r w:rsidR="00E04902" w:rsidRPr="00B07091" w:rsidDel="003522B6">
        <w:rPr>
          <w:rFonts w:ascii="Times New Roman" w:hAnsi="Times New Roman" w:cs="Times New Roman"/>
        </w:rPr>
        <w:t xml:space="preserve"> </w:t>
      </w:r>
      <w:r w:rsidR="0088704B" w:rsidRPr="00B07091">
        <w:rPr>
          <w:rFonts w:ascii="Times New Roman" w:hAnsi="Times New Roman" w:cs="Times New Roman"/>
          <w:noProof/>
        </w:rPr>
        <w:t>(12)</w:t>
      </w:r>
      <w:r w:rsidR="00111C1B" w:rsidRPr="00B07091" w:rsidDel="00111C1B">
        <w:rPr>
          <w:rFonts w:ascii="Times New Roman" w:hAnsi="Times New Roman" w:cs="Times New Roman"/>
        </w:rPr>
        <w:t xml:space="preserve"> </w:t>
      </w:r>
      <w:r w:rsidR="00C47564" w:rsidRPr="00B07091">
        <w:rPr>
          <w:rFonts w:ascii="Times New Roman" w:hAnsi="Times New Roman" w:cs="Times New Roman"/>
        </w:rPr>
        <w:t xml:space="preserve">reparametrized as in </w:t>
      </w:r>
      <w:proofErr w:type="spellStart"/>
      <w:r w:rsidR="00C47564" w:rsidRPr="00B07091">
        <w:rPr>
          <w:rFonts w:ascii="Times New Roman" w:hAnsi="Times New Roman" w:cs="Times New Roman"/>
        </w:rPr>
        <w:t>Stenseth</w:t>
      </w:r>
      <w:proofErr w:type="spellEnd"/>
      <w:r w:rsidR="00C47564" w:rsidRPr="00B07091">
        <w:rPr>
          <w:rFonts w:ascii="Times New Roman" w:hAnsi="Times New Roman" w:cs="Times New Roman"/>
        </w:rPr>
        <w:t xml:space="preserve"> et al. </w:t>
      </w:r>
      <w:r w:rsidR="00D627C7" w:rsidRPr="00B07091">
        <w:rPr>
          <w:rFonts w:ascii="Times New Roman" w:hAnsi="Times New Roman" w:cs="Times New Roman"/>
          <w:noProof/>
        </w:rPr>
        <w:t>(27)</w:t>
      </w:r>
      <w:r w:rsidR="00C47564" w:rsidRPr="00B07091">
        <w:rPr>
          <w:rFonts w:ascii="Times New Roman" w:hAnsi="Times New Roman" w:cs="Times New Roman"/>
        </w:rPr>
        <w:t xml:space="preserve"> </w:t>
      </w:r>
      <w:r w:rsidR="00E04902" w:rsidRPr="00B07091" w:rsidDel="003522B6">
        <w:rPr>
          <w:rFonts w:ascii="Times New Roman" w:hAnsi="Times New Roman" w:cs="Times New Roman"/>
        </w:rPr>
        <w:t>incorporat</w:t>
      </w:r>
      <w:r w:rsidR="00083560" w:rsidRPr="00B07091">
        <w:rPr>
          <w:rFonts w:ascii="Times New Roman" w:hAnsi="Times New Roman" w:cs="Times New Roman"/>
        </w:rPr>
        <w:t>ing</w:t>
      </w:r>
      <w:r w:rsidR="00E04902" w:rsidRPr="00B07091" w:rsidDel="003522B6">
        <w:rPr>
          <w:rFonts w:ascii="Times New Roman" w:hAnsi="Times New Roman" w:cs="Times New Roman"/>
        </w:rPr>
        <w:t xml:space="preserve"> </w:t>
      </w:r>
      <w:r w:rsidR="005263A4" w:rsidRPr="00B07091">
        <w:rPr>
          <w:rFonts w:ascii="Times New Roman" w:hAnsi="Times New Roman" w:cs="Times New Roman"/>
        </w:rPr>
        <w:t>competition (</w:t>
      </w:r>
      <w:r w:rsidR="002C3B54" w:rsidRPr="00B07091" w:rsidDel="003522B6">
        <w:rPr>
          <w:rFonts w:ascii="Times New Roman" w:hAnsi="Times New Roman" w:cs="Times New Roman"/>
        </w:rPr>
        <w:t>int</w:t>
      </w:r>
      <w:r w:rsidR="002C3B54" w:rsidRPr="00B07091">
        <w:rPr>
          <w:rFonts w:ascii="Times New Roman" w:hAnsi="Times New Roman" w:cs="Times New Roman"/>
        </w:rPr>
        <w:t>ra</w:t>
      </w:r>
      <w:r w:rsidR="00E04902" w:rsidRPr="00B07091" w:rsidDel="003522B6">
        <w:rPr>
          <w:rFonts w:ascii="Times New Roman" w:hAnsi="Times New Roman" w:cs="Times New Roman"/>
        </w:rPr>
        <w:t xml:space="preserve">- and </w:t>
      </w:r>
      <w:r w:rsidR="002C3B54" w:rsidRPr="00B07091" w:rsidDel="003522B6">
        <w:rPr>
          <w:rFonts w:ascii="Times New Roman" w:hAnsi="Times New Roman" w:cs="Times New Roman"/>
        </w:rPr>
        <w:t>int</w:t>
      </w:r>
      <w:r w:rsidR="002C3B54" w:rsidRPr="00B07091">
        <w:rPr>
          <w:rFonts w:ascii="Times New Roman" w:hAnsi="Times New Roman" w:cs="Times New Roman"/>
        </w:rPr>
        <w:t>er</w:t>
      </w:r>
      <w:r w:rsidR="002C3B54" w:rsidRPr="00B07091" w:rsidDel="003522B6">
        <w:rPr>
          <w:rFonts w:ascii="Times New Roman" w:hAnsi="Times New Roman" w:cs="Times New Roman"/>
        </w:rPr>
        <w:t>specific</w:t>
      </w:r>
      <w:r w:rsidR="002C3B54" w:rsidRPr="00B07091">
        <w:rPr>
          <w:rFonts w:ascii="Times New Roman" w:hAnsi="Times New Roman" w:cs="Times New Roman"/>
        </w:rPr>
        <w:t xml:space="preserve"> </w:t>
      </w:r>
      <w:r w:rsidR="00681ADF" w:rsidRPr="00B07091">
        <w:rPr>
          <w:rFonts w:ascii="Times New Roman" w:hAnsi="Times New Roman" w:cs="Times New Roman"/>
        </w:rPr>
        <w:t xml:space="preserve">respectively </w:t>
      </w:r>
      <w:proofErr w:type="spellStart"/>
      <w:r w:rsidR="00681ADF" w:rsidRPr="00B07091">
        <w:rPr>
          <w:rFonts w:ascii="Times New Roman" w:hAnsi="Times New Roman" w:cs="Times New Roman"/>
        </w:rPr>
        <w:t>a</w:t>
      </w:r>
      <w:r w:rsidR="00681ADF" w:rsidRPr="00B07091">
        <w:rPr>
          <w:rFonts w:ascii="Times New Roman" w:hAnsi="Times New Roman" w:cs="Times New Roman"/>
          <w:vertAlign w:val="subscript"/>
        </w:rPr>
        <w:t>i</w:t>
      </w:r>
      <w:proofErr w:type="gramStart"/>
      <w:r w:rsidR="00681ADF" w:rsidRPr="00B07091">
        <w:rPr>
          <w:rFonts w:ascii="Times New Roman" w:hAnsi="Times New Roman" w:cs="Times New Roman"/>
          <w:vertAlign w:val="subscript"/>
        </w:rPr>
        <w:t>,i</w:t>
      </w:r>
      <w:proofErr w:type="spellEnd"/>
      <w:proofErr w:type="gramEnd"/>
      <w:r w:rsidR="00681ADF" w:rsidRPr="00B07091">
        <w:rPr>
          <w:rFonts w:ascii="Times New Roman" w:hAnsi="Times New Roman" w:cs="Times New Roman"/>
        </w:rPr>
        <w:t xml:space="preserve"> </w:t>
      </w:r>
      <w:r w:rsidR="00B07091" w:rsidRPr="00B07091">
        <w:rPr>
          <w:rFonts w:ascii="Times New Roman" w:hAnsi="Times New Roman" w:cs="Times New Roman"/>
        </w:rPr>
        <w:t>(</w:t>
      </w:r>
      <w:r w:rsidR="00403737">
        <w:rPr>
          <w:rFonts w:ascii="Times New Roman" w:hAnsi="Times New Roman" w:cs="Times New Roman"/>
        </w:rPr>
        <w:t xml:space="preserve">with </w:t>
      </w:r>
      <w:r w:rsidR="00316D83" w:rsidRPr="00403737">
        <w:rPr>
          <w:rFonts w:ascii="Times New Roman" w:hAnsi="Times New Roman" w:cs="Times New Roman"/>
        </w:rPr>
        <w:t xml:space="preserve">the </w:t>
      </w:r>
      <w:r w:rsidR="00403737" w:rsidRPr="00403737">
        <w:rPr>
          <w:rFonts w:ascii="Times New Roman" w:hAnsi="Times New Roman" w:cs="Times New Roman"/>
        </w:rPr>
        <w:t>intra-specific interaction</w:t>
      </w:r>
      <w:r w:rsidR="00403737">
        <w:rPr>
          <w:rFonts w:ascii="Times New Roman" w:hAnsi="Times New Roman" w:cs="Times New Roman"/>
        </w:rPr>
        <w:t xml:space="preserve"> set</w:t>
      </w:r>
      <w:r w:rsidR="00316D83" w:rsidRPr="00403737">
        <w:rPr>
          <w:rFonts w:ascii="Times New Roman" w:hAnsi="Times New Roman" w:cs="Times New Roman"/>
        </w:rPr>
        <w:t xml:space="preserve"> to 1 </w:t>
      </w:r>
      <w:r w:rsidR="00403737">
        <w:rPr>
          <w:noProof/>
        </w:rPr>
        <w:t>(27, 28)</w:t>
      </w:r>
      <w:r w:rsidR="00B07091" w:rsidRPr="00B07091">
        <w:rPr>
          <w:rFonts w:ascii="Times New Roman" w:hAnsi="Times New Roman" w:cs="Times New Roman"/>
        </w:rPr>
        <w:t xml:space="preserve">) </w:t>
      </w:r>
      <w:r w:rsidR="00681ADF" w:rsidRPr="00B07091">
        <w:rPr>
          <w:rFonts w:ascii="Times New Roman" w:hAnsi="Times New Roman" w:cs="Times New Roman"/>
        </w:rPr>
        <w:t xml:space="preserve">and </w:t>
      </w:r>
      <w:proofErr w:type="spellStart"/>
      <w:r w:rsidR="00681ADF" w:rsidRPr="00B07091">
        <w:rPr>
          <w:rFonts w:ascii="Times New Roman" w:hAnsi="Times New Roman" w:cs="Times New Roman"/>
        </w:rPr>
        <w:t>a</w:t>
      </w:r>
      <w:r w:rsidR="00681ADF" w:rsidRPr="00B07091">
        <w:rPr>
          <w:rFonts w:ascii="Times New Roman" w:hAnsi="Times New Roman" w:cs="Times New Roman"/>
          <w:vertAlign w:val="subscript"/>
        </w:rPr>
        <w:t>i,j</w:t>
      </w:r>
      <w:proofErr w:type="spellEnd"/>
      <w:r w:rsidR="00681ADF" w:rsidRPr="00B07091">
        <w:rPr>
          <w:rFonts w:ascii="Times New Roman" w:hAnsi="Times New Roman" w:cs="Times New Roman"/>
        </w:rPr>
        <w:t xml:space="preserve">) </w:t>
      </w:r>
      <w:r w:rsidR="00A91FBF" w:rsidRPr="00B07091">
        <w:rPr>
          <w:rFonts w:ascii="Times New Roman" w:hAnsi="Times New Roman" w:cs="Times New Roman"/>
        </w:rPr>
        <w:t xml:space="preserve">and </w:t>
      </w:r>
      <w:r w:rsidR="00E04902" w:rsidRPr="00B07091" w:rsidDel="003522B6">
        <w:rPr>
          <w:rFonts w:ascii="Times New Roman" w:hAnsi="Times New Roman" w:cs="Times New Roman"/>
        </w:rPr>
        <w:t>environmental variables</w:t>
      </w:r>
      <w:r w:rsidR="00B2178B" w:rsidRPr="00B07091">
        <w:rPr>
          <w:rFonts w:ascii="Times New Roman" w:hAnsi="Times New Roman" w:cs="Times New Roman"/>
        </w:rPr>
        <w:t xml:space="preserve"> (</w:t>
      </w:r>
      <w:proofErr w:type="spellStart"/>
      <w:r w:rsidR="00B2178B" w:rsidRPr="00B07091">
        <w:rPr>
          <w:rFonts w:ascii="Times New Roman" w:hAnsi="Times New Roman" w:cs="Times New Roman"/>
        </w:rPr>
        <w:t>a</w:t>
      </w:r>
      <w:r w:rsidR="00B2178B" w:rsidRPr="00B07091">
        <w:rPr>
          <w:rFonts w:ascii="Times New Roman" w:hAnsi="Times New Roman" w:cs="Times New Roman"/>
          <w:vertAlign w:val="subscript"/>
        </w:rPr>
        <w:t>i,st</w:t>
      </w:r>
      <w:proofErr w:type="spellEnd"/>
      <w:r w:rsidR="00B2178B" w:rsidRPr="00B07091">
        <w:rPr>
          <w:rFonts w:ascii="Times New Roman" w:hAnsi="Times New Roman" w:cs="Times New Roman"/>
          <w:vertAlign w:val="subscript"/>
        </w:rPr>
        <w:t xml:space="preserve"> </w:t>
      </w:r>
      <w:r w:rsidR="00B2178B" w:rsidRPr="00B07091">
        <w:rPr>
          <w:rFonts w:ascii="Times New Roman" w:hAnsi="Times New Roman" w:cs="Times New Roman"/>
        </w:rPr>
        <w:t xml:space="preserve">and </w:t>
      </w:r>
      <w:proofErr w:type="spellStart"/>
      <w:r w:rsidR="00B2178B" w:rsidRPr="00B07091">
        <w:rPr>
          <w:rFonts w:ascii="Times New Roman" w:hAnsi="Times New Roman" w:cs="Times New Roman"/>
        </w:rPr>
        <w:t>a</w:t>
      </w:r>
      <w:r w:rsidR="00B2178B" w:rsidRPr="00B07091">
        <w:rPr>
          <w:rFonts w:ascii="Times New Roman" w:hAnsi="Times New Roman" w:cs="Times New Roman"/>
          <w:vertAlign w:val="subscript"/>
        </w:rPr>
        <w:t>i,nao</w:t>
      </w:r>
      <w:proofErr w:type="spellEnd"/>
      <w:r w:rsidR="00B2178B" w:rsidRPr="00B07091">
        <w:rPr>
          <w:rFonts w:ascii="Times New Roman" w:hAnsi="Times New Roman" w:cs="Times New Roman"/>
        </w:rPr>
        <w:t>)</w:t>
      </w:r>
      <w:r w:rsidR="00A91FBF" w:rsidRPr="00B07091">
        <w:rPr>
          <w:rFonts w:ascii="Times New Roman" w:hAnsi="Times New Roman" w:cs="Times New Roman"/>
        </w:rPr>
        <w:t xml:space="preserve"> effects</w:t>
      </w:r>
      <w:r w:rsidR="00B2178B" w:rsidRPr="00B07091">
        <w:rPr>
          <w:rFonts w:ascii="Times New Roman" w:hAnsi="Times New Roman" w:cs="Times New Roman"/>
        </w:rPr>
        <w:t xml:space="preserve">. The model </w:t>
      </w:r>
      <w:r w:rsidR="007E10A1" w:rsidRPr="00B07091">
        <w:rPr>
          <w:rFonts w:ascii="Times New Roman" w:hAnsi="Times New Roman" w:cs="Times New Roman"/>
        </w:rPr>
        <w:lastRenderedPageBreak/>
        <w:t>(</w:t>
      </w:r>
      <w:r w:rsidR="00B854A4" w:rsidRPr="00B07091">
        <w:rPr>
          <w:rFonts w:ascii="Times New Roman" w:hAnsi="Times New Roman" w:cs="Times New Roman"/>
        </w:rPr>
        <w:t>t</w:t>
      </w:r>
      <w:r w:rsidR="007E10A1" w:rsidRPr="00B07091">
        <w:rPr>
          <w:rFonts w:ascii="Times New Roman" w:hAnsi="Times New Roman" w:cs="Times New Roman"/>
        </w:rPr>
        <w:t xml:space="preserve">able 1: eqn. 1) </w:t>
      </w:r>
      <w:r w:rsidR="00B2178B" w:rsidRPr="00B07091">
        <w:rPr>
          <w:rFonts w:ascii="Times New Roman" w:hAnsi="Times New Roman" w:cs="Times New Roman"/>
        </w:rPr>
        <w:t>incorporated also</w:t>
      </w:r>
      <w:r w:rsidR="00EF2386" w:rsidRPr="00B07091">
        <w:rPr>
          <w:rFonts w:ascii="Times New Roman" w:hAnsi="Times New Roman" w:cs="Times New Roman"/>
        </w:rPr>
        <w:t xml:space="preserve"> a Gaussian distributed stochastic term </w:t>
      </w:r>
      <w:r w:rsidR="00B2178B" w:rsidRPr="00B07091">
        <w:rPr>
          <w:rFonts w:ascii="Times New Roman" w:hAnsi="Times New Roman" w:cs="Times New Roman"/>
        </w:rPr>
        <w:t>(</w:t>
      </w:r>
      <w:r w:rsidR="00EF2386" w:rsidRPr="00B07091">
        <w:rPr>
          <w:rFonts w:ascii="Times New Roman" w:hAnsi="Times New Roman" w:cs="Times New Roman"/>
        </w:rPr>
        <w:t>ε</w:t>
      </w:r>
      <w:r w:rsidR="00B2178B" w:rsidRPr="00B07091">
        <w:rPr>
          <w:rFonts w:ascii="Times New Roman" w:hAnsi="Times New Roman" w:cs="Times New Roman"/>
        </w:rPr>
        <w:t>)</w:t>
      </w:r>
      <w:r w:rsidR="00EF2386" w:rsidRPr="00B07091">
        <w:rPr>
          <w:rFonts w:ascii="Times New Roman" w:hAnsi="Times New Roman" w:cs="Times New Roman"/>
        </w:rPr>
        <w:t xml:space="preserve"> to acknowledge our </w:t>
      </w:r>
      <w:r w:rsidR="007F57F7" w:rsidRPr="00B07091">
        <w:rPr>
          <w:rFonts w:ascii="Times New Roman" w:hAnsi="Times New Roman" w:cs="Times New Roman"/>
        </w:rPr>
        <w:t xml:space="preserve">inadequate </w:t>
      </w:r>
      <w:r w:rsidR="00EF2386" w:rsidRPr="00B07091">
        <w:rPr>
          <w:rFonts w:ascii="Times New Roman" w:hAnsi="Times New Roman" w:cs="Times New Roman"/>
        </w:rPr>
        <w:t xml:space="preserve">understanding of the population </w:t>
      </w:r>
      <w:proofErr w:type="spellStart"/>
      <w:r w:rsidR="00EF2386" w:rsidRPr="00B07091">
        <w:rPr>
          <w:rFonts w:ascii="Times New Roman" w:hAnsi="Times New Roman" w:cs="Times New Roman"/>
          <w:i/>
          <w:iCs/>
        </w:rPr>
        <w:t>i</w:t>
      </w:r>
      <w:proofErr w:type="spellEnd"/>
      <w:r w:rsidR="008173AC" w:rsidRPr="00B07091">
        <w:rPr>
          <w:rFonts w:ascii="Times New Roman" w:hAnsi="Times New Roman" w:cs="Times New Roman"/>
          <w:i/>
          <w:iCs/>
        </w:rPr>
        <w:t xml:space="preserve"> </w:t>
      </w:r>
      <w:r w:rsidR="008173AC" w:rsidRPr="00B07091">
        <w:rPr>
          <w:rFonts w:ascii="Times New Roman" w:hAnsi="Times New Roman" w:cs="Times New Roman"/>
        </w:rPr>
        <w:t>dynamics</w:t>
      </w:r>
      <w:r w:rsidR="008173AC" w:rsidRPr="00B07091">
        <w:rPr>
          <w:rFonts w:ascii="Times New Roman" w:hAnsi="Times New Roman" w:cs="Times New Roman"/>
          <w:i/>
          <w:iCs/>
        </w:rPr>
        <w:t xml:space="preserve"> </w:t>
      </w:r>
      <w:r w:rsidR="008173AC" w:rsidRPr="00B07091">
        <w:rPr>
          <w:rFonts w:ascii="Times New Roman" w:hAnsi="Times New Roman" w:cs="Times New Roman"/>
        </w:rPr>
        <w:t>complexity</w:t>
      </w:r>
      <w:r w:rsidR="00ED6B5D" w:rsidRPr="00B07091">
        <w:rPr>
          <w:rFonts w:ascii="Times New Roman" w:hAnsi="Times New Roman" w:cs="Times New Roman"/>
          <w:i/>
          <w:iCs/>
        </w:rPr>
        <w:t xml:space="preserve"> </w:t>
      </w:r>
      <w:r w:rsidR="00ED6B5D" w:rsidRPr="00B07091">
        <w:rPr>
          <w:rFonts w:ascii="Times New Roman" w:hAnsi="Times New Roman" w:cs="Times New Roman"/>
          <w:iCs/>
        </w:rPr>
        <w:t xml:space="preserve">(i.e., the </w:t>
      </w:r>
      <w:r w:rsidR="00ED6B5D" w:rsidRPr="00B07091">
        <w:rPr>
          <w:rFonts w:ascii="Times New Roman" w:hAnsi="Times New Roman" w:cs="Times New Roman"/>
        </w:rPr>
        <w:t>process error</w:t>
      </w:r>
      <w:r w:rsidR="00ED47C0" w:rsidRPr="00B07091">
        <w:rPr>
          <w:rFonts w:ascii="Times New Roman" w:hAnsi="Times New Roman" w:cs="Times New Roman"/>
        </w:rPr>
        <w:t>: eqn. 2</w:t>
      </w:r>
      <w:r w:rsidR="00ED6B5D" w:rsidRPr="00B07091">
        <w:rPr>
          <w:rFonts w:ascii="Times New Roman" w:hAnsi="Times New Roman" w:cs="Times New Roman"/>
        </w:rPr>
        <w:t>)</w:t>
      </w:r>
      <w:r w:rsidR="00B2178B" w:rsidRPr="00B07091">
        <w:rPr>
          <w:rFonts w:ascii="Times New Roman" w:hAnsi="Times New Roman" w:cs="Times New Roman"/>
        </w:rPr>
        <w:t>.</w:t>
      </w:r>
    </w:p>
    <w:p w14:paraId="4FA70BB5" w14:textId="338C865D" w:rsidR="00DB0CF1" w:rsidRPr="00B07091" w:rsidRDefault="00EF2386" w:rsidP="00EB64F3">
      <w:pPr>
        <w:tabs>
          <w:tab w:val="left" w:pos="8222"/>
        </w:tabs>
        <w:spacing w:after="0" w:line="276" w:lineRule="auto"/>
        <w:rPr>
          <w:rFonts w:ascii="Times New Roman" w:hAnsi="Times New Roman" w:cs="Times New Roman"/>
        </w:rPr>
      </w:pPr>
      <w:r w:rsidRPr="00B07091">
        <w:rPr>
          <w:rFonts w:ascii="Times New Roman" w:hAnsi="Times New Roman" w:cs="Times New Roman"/>
        </w:rPr>
        <w:t xml:space="preserve">             </w:t>
      </w:r>
      <w:r w:rsidR="006227CF" w:rsidRPr="00B07091">
        <w:rPr>
          <w:rFonts w:ascii="Times New Roman" w:hAnsi="Times New Roman" w:cs="Times New Roman"/>
        </w:rPr>
        <w:t xml:space="preserve">Since the </w:t>
      </w:r>
      <w:r w:rsidR="007E3203" w:rsidRPr="00B07091">
        <w:rPr>
          <w:rFonts w:ascii="Times New Roman" w:hAnsi="Times New Roman" w:cs="Times New Roman"/>
        </w:rPr>
        <w:t xml:space="preserve">sampling of </w:t>
      </w:r>
      <w:r w:rsidR="006227CF" w:rsidRPr="00B07091">
        <w:rPr>
          <w:rFonts w:ascii="Times New Roman" w:hAnsi="Times New Roman" w:cs="Times New Roman"/>
        </w:rPr>
        <w:t>capelin population is in August-September while in January-March</w:t>
      </w:r>
      <w:r w:rsidR="007E3203" w:rsidRPr="00B07091">
        <w:rPr>
          <w:rFonts w:ascii="Times New Roman" w:hAnsi="Times New Roman" w:cs="Times New Roman"/>
        </w:rPr>
        <w:t xml:space="preserve"> for the cod</w:t>
      </w:r>
      <w:r w:rsidR="006227CF" w:rsidRPr="00B07091">
        <w:rPr>
          <w:rFonts w:ascii="Times New Roman" w:hAnsi="Times New Roman" w:cs="Times New Roman"/>
        </w:rPr>
        <w:t xml:space="preserve">, the cod survey at </w:t>
      </w:r>
      <w:proofErr w:type="spellStart"/>
      <w:r w:rsidR="006227CF" w:rsidRPr="00B07091">
        <w:rPr>
          <w:rFonts w:ascii="Times New Roman" w:hAnsi="Times New Roman" w:cs="Times New Roman"/>
        </w:rPr>
        <w:t>year</w:t>
      </w:r>
      <w:r w:rsidR="006227CF" w:rsidRPr="00B07091">
        <w:rPr>
          <w:rFonts w:ascii="Times New Roman" w:hAnsi="Times New Roman" w:cs="Times New Roman"/>
          <w:vertAlign w:val="subscript"/>
        </w:rPr>
        <w:t>yr</w:t>
      </w:r>
      <w:proofErr w:type="spellEnd"/>
      <w:r w:rsidR="006227CF" w:rsidRPr="00B07091">
        <w:rPr>
          <w:rFonts w:ascii="Times New Roman" w:hAnsi="Times New Roman" w:cs="Times New Roman"/>
        </w:rPr>
        <w:t xml:space="preserve"> was conducted between the capelin surveys at year</w:t>
      </w:r>
      <w:r w:rsidR="006227CF" w:rsidRPr="00B07091">
        <w:rPr>
          <w:rFonts w:ascii="Times New Roman" w:hAnsi="Times New Roman" w:cs="Times New Roman"/>
          <w:vertAlign w:val="subscript"/>
        </w:rPr>
        <w:t>yr-1</w:t>
      </w:r>
      <w:r w:rsidR="006227CF" w:rsidRPr="00B07091">
        <w:rPr>
          <w:rFonts w:ascii="Times New Roman" w:hAnsi="Times New Roman" w:cs="Times New Roman"/>
        </w:rPr>
        <w:t xml:space="preserve"> and </w:t>
      </w:r>
      <w:proofErr w:type="spellStart"/>
      <w:r w:rsidR="006227CF" w:rsidRPr="00B07091">
        <w:rPr>
          <w:rFonts w:ascii="Times New Roman" w:hAnsi="Times New Roman" w:cs="Times New Roman"/>
        </w:rPr>
        <w:t>year</w:t>
      </w:r>
      <w:r w:rsidR="006227CF" w:rsidRPr="00B07091">
        <w:rPr>
          <w:rFonts w:ascii="Times New Roman" w:hAnsi="Times New Roman" w:cs="Times New Roman"/>
          <w:vertAlign w:val="subscript"/>
        </w:rPr>
        <w:t>yr</w:t>
      </w:r>
      <w:proofErr w:type="spellEnd"/>
      <w:r w:rsidR="006227CF" w:rsidRPr="00B07091">
        <w:rPr>
          <w:rFonts w:ascii="Times New Roman" w:hAnsi="Times New Roman" w:cs="Times New Roman"/>
        </w:rPr>
        <w:t xml:space="preserve">. </w:t>
      </w:r>
      <w:r w:rsidR="00DB0CF1" w:rsidRPr="00B07091">
        <w:rPr>
          <w:rFonts w:ascii="Times New Roman" w:hAnsi="Times New Roman" w:cs="Times New Roman"/>
        </w:rPr>
        <w:t xml:space="preserve">We took this into account when modelling the capelin by using the cod abundance estimate at </w:t>
      </w:r>
      <w:proofErr w:type="spellStart"/>
      <w:r w:rsidR="00DB0CF1" w:rsidRPr="00B07091">
        <w:rPr>
          <w:rFonts w:ascii="Times New Roman" w:hAnsi="Times New Roman" w:cs="Times New Roman"/>
        </w:rPr>
        <w:t>year</w:t>
      </w:r>
      <w:r w:rsidR="00BC0B1B" w:rsidRPr="00B07091">
        <w:rPr>
          <w:rFonts w:ascii="Times New Roman" w:hAnsi="Times New Roman" w:cs="Times New Roman"/>
          <w:vertAlign w:val="subscript"/>
        </w:rPr>
        <w:t>yr</w:t>
      </w:r>
      <w:proofErr w:type="spellEnd"/>
      <w:r w:rsidR="00DB0CF1" w:rsidRPr="00B07091">
        <w:rPr>
          <w:rFonts w:ascii="Times New Roman" w:hAnsi="Times New Roman" w:cs="Times New Roman"/>
        </w:rPr>
        <w:t xml:space="preserve"> (</w:t>
      </w:r>
      <w:proofErr w:type="spellStart"/>
      <w:r w:rsidR="00DB0CF1" w:rsidRPr="00B07091">
        <w:rPr>
          <w:rFonts w:ascii="Times New Roman" w:hAnsi="Times New Roman" w:cs="Times New Roman"/>
        </w:rPr>
        <w:t>N</w:t>
      </w:r>
      <w:r w:rsidR="00DB0CF1" w:rsidRPr="00B07091">
        <w:rPr>
          <w:rFonts w:ascii="Times New Roman" w:hAnsi="Times New Roman" w:cs="Times New Roman"/>
          <w:vertAlign w:val="subscript"/>
        </w:rPr>
        <w:t>j</w:t>
      </w:r>
      <w:proofErr w:type="gramStart"/>
      <w:r w:rsidR="00DB0CF1" w:rsidRPr="00B07091">
        <w:rPr>
          <w:rFonts w:ascii="Times New Roman" w:hAnsi="Times New Roman" w:cs="Times New Roman"/>
          <w:vertAlign w:val="subscript"/>
        </w:rPr>
        <w:t>,</w:t>
      </w:r>
      <w:r w:rsidR="00BC0B1B" w:rsidRPr="00B07091">
        <w:rPr>
          <w:rFonts w:ascii="Times New Roman" w:hAnsi="Times New Roman" w:cs="Times New Roman"/>
          <w:vertAlign w:val="subscript"/>
        </w:rPr>
        <w:t>yr</w:t>
      </w:r>
      <w:proofErr w:type="spellEnd"/>
      <w:proofErr w:type="gramEnd"/>
      <w:r w:rsidR="00DB0CF1" w:rsidRPr="00B07091">
        <w:rPr>
          <w:rFonts w:ascii="Times New Roman" w:hAnsi="Times New Roman" w:cs="Times New Roman"/>
        </w:rPr>
        <w:t>) instead of year</w:t>
      </w:r>
      <w:r w:rsidR="00BC0B1B" w:rsidRPr="00B07091">
        <w:rPr>
          <w:rFonts w:ascii="Times New Roman" w:hAnsi="Times New Roman" w:cs="Times New Roman"/>
          <w:vertAlign w:val="subscript"/>
        </w:rPr>
        <w:t>yr</w:t>
      </w:r>
      <w:r w:rsidR="00DB0CF1" w:rsidRPr="00B07091">
        <w:rPr>
          <w:rFonts w:ascii="Times New Roman" w:hAnsi="Times New Roman" w:cs="Times New Roman"/>
          <w:vertAlign w:val="subscript"/>
        </w:rPr>
        <w:t xml:space="preserve">-1 </w:t>
      </w:r>
      <w:r w:rsidR="00DB0CF1" w:rsidRPr="00B07091">
        <w:rPr>
          <w:rFonts w:ascii="Times New Roman" w:hAnsi="Times New Roman" w:cs="Times New Roman"/>
        </w:rPr>
        <w:t>(N</w:t>
      </w:r>
      <w:r w:rsidR="00DB0CF1" w:rsidRPr="00B07091">
        <w:rPr>
          <w:rFonts w:ascii="Times New Roman" w:hAnsi="Times New Roman" w:cs="Times New Roman"/>
          <w:vertAlign w:val="subscript"/>
        </w:rPr>
        <w:t>j,</w:t>
      </w:r>
      <w:r w:rsidR="00BC0B1B" w:rsidRPr="00B07091">
        <w:rPr>
          <w:rFonts w:ascii="Times New Roman" w:hAnsi="Times New Roman" w:cs="Times New Roman"/>
          <w:vertAlign w:val="subscript"/>
        </w:rPr>
        <w:t>yr</w:t>
      </w:r>
      <w:r w:rsidR="00DB0CF1" w:rsidRPr="00B07091">
        <w:rPr>
          <w:rFonts w:ascii="Times New Roman" w:hAnsi="Times New Roman" w:cs="Times New Roman"/>
          <w:vertAlign w:val="subscript"/>
        </w:rPr>
        <w:t>-1</w:t>
      </w:r>
      <w:r w:rsidR="00DB0CF1" w:rsidRPr="00B07091">
        <w:rPr>
          <w:rFonts w:ascii="Times New Roman" w:hAnsi="Times New Roman" w:cs="Times New Roman"/>
        </w:rPr>
        <w:t>)</w:t>
      </w:r>
      <w:r w:rsidR="003069FD" w:rsidRPr="00B07091">
        <w:rPr>
          <w:rFonts w:ascii="Times New Roman" w:hAnsi="Times New Roman" w:cs="Times New Roman"/>
        </w:rPr>
        <w:t xml:space="preserve"> </w:t>
      </w:r>
      <w:r w:rsidR="00ED47C0" w:rsidRPr="00B07091">
        <w:rPr>
          <w:rFonts w:ascii="Times New Roman" w:hAnsi="Times New Roman" w:cs="Times New Roman"/>
        </w:rPr>
        <w:t>as described in eqn.3.</w:t>
      </w:r>
    </w:p>
    <w:p w14:paraId="3AAF8E66" w14:textId="5D47B2BE" w:rsidR="00E04902" w:rsidRPr="00B07091" w:rsidRDefault="00E04902" w:rsidP="00EB64F3">
      <w:pPr>
        <w:spacing w:after="0" w:line="276" w:lineRule="auto"/>
        <w:ind w:firstLine="708"/>
        <w:rPr>
          <w:rFonts w:ascii="Times New Roman" w:hAnsi="Times New Roman" w:cs="Times New Roman"/>
        </w:rPr>
      </w:pPr>
      <w:r w:rsidRPr="00B07091">
        <w:rPr>
          <w:rFonts w:ascii="Times New Roman" w:hAnsi="Times New Roman" w:cs="Times New Roman"/>
        </w:rPr>
        <w:t xml:space="preserve">We assumed that the </w:t>
      </w:r>
      <w:r w:rsidR="001E73A4" w:rsidRPr="00B07091">
        <w:rPr>
          <w:rFonts w:ascii="Times New Roman" w:hAnsi="Times New Roman" w:cs="Times New Roman"/>
        </w:rPr>
        <w:t xml:space="preserve">observed </w:t>
      </w:r>
      <w:r w:rsidRPr="00B07091">
        <w:rPr>
          <w:rFonts w:ascii="Times New Roman" w:hAnsi="Times New Roman" w:cs="Times New Roman"/>
        </w:rPr>
        <w:t>abundance</w:t>
      </w:r>
      <w:r w:rsidR="002934CB" w:rsidRPr="00B07091">
        <w:rPr>
          <w:rFonts w:ascii="Times New Roman" w:hAnsi="Times New Roman" w:cs="Times New Roman"/>
        </w:rPr>
        <w:t>s</w:t>
      </w:r>
      <w:r w:rsidRPr="00B07091">
        <w:rPr>
          <w:rFonts w:ascii="Times New Roman" w:hAnsi="Times New Roman" w:cs="Times New Roman"/>
        </w:rPr>
        <w:t xml:space="preserve"> (</w:t>
      </w:r>
      <w:proofErr w:type="spellStart"/>
      <w:r w:rsidR="00514FC8" w:rsidRPr="00B07091">
        <w:rPr>
          <w:rFonts w:ascii="Times New Roman" w:hAnsi="Times New Roman" w:cs="Times New Roman"/>
        </w:rPr>
        <w:t>O</w:t>
      </w:r>
      <w:r w:rsidR="0070331E" w:rsidRPr="00B07091">
        <w:rPr>
          <w:rFonts w:ascii="Times New Roman" w:hAnsi="Times New Roman" w:cs="Times New Roman"/>
        </w:rPr>
        <w:t>bs</w:t>
      </w:r>
      <w:proofErr w:type="spellEnd"/>
      <w:r w:rsidR="00327810" w:rsidRPr="00B07091">
        <w:rPr>
          <w:rFonts w:ascii="Times New Roman" w:hAnsi="Times New Roman" w:cs="Times New Roman"/>
        </w:rPr>
        <w:t>;</w:t>
      </w:r>
      <w:r w:rsidR="00514FC8" w:rsidRPr="00B07091">
        <w:rPr>
          <w:rFonts w:ascii="Times New Roman" w:hAnsi="Times New Roman" w:cs="Times New Roman"/>
        </w:rPr>
        <w:t xml:space="preserve"> </w:t>
      </w:r>
      <w:r w:rsidRPr="00B07091">
        <w:rPr>
          <w:rFonts w:ascii="Times New Roman" w:hAnsi="Times New Roman" w:cs="Times New Roman"/>
        </w:rPr>
        <w:t>from trawl</w:t>
      </w:r>
      <w:r w:rsidR="00681ADF" w:rsidRPr="00B07091">
        <w:rPr>
          <w:rFonts w:ascii="Times New Roman" w:hAnsi="Times New Roman" w:cs="Times New Roman"/>
        </w:rPr>
        <w:t xml:space="preserve"> survey for</w:t>
      </w:r>
      <w:r w:rsidR="001E73A4" w:rsidRPr="00B07091">
        <w:rPr>
          <w:rFonts w:ascii="Times New Roman" w:hAnsi="Times New Roman" w:cs="Times New Roman"/>
        </w:rPr>
        <w:t xml:space="preserve"> cod </w:t>
      </w:r>
      <w:r w:rsidRPr="00B07091">
        <w:rPr>
          <w:rFonts w:ascii="Times New Roman" w:hAnsi="Times New Roman" w:cs="Times New Roman"/>
        </w:rPr>
        <w:t>and acoustic</w:t>
      </w:r>
      <w:r w:rsidR="00681ADF" w:rsidRPr="00B07091">
        <w:rPr>
          <w:rFonts w:ascii="Times New Roman" w:hAnsi="Times New Roman" w:cs="Times New Roman"/>
        </w:rPr>
        <w:t xml:space="preserve"> survey for</w:t>
      </w:r>
      <w:r w:rsidR="001E73A4" w:rsidRPr="00B07091">
        <w:rPr>
          <w:rFonts w:ascii="Times New Roman" w:hAnsi="Times New Roman" w:cs="Times New Roman"/>
        </w:rPr>
        <w:t xml:space="preserve"> capelin</w:t>
      </w:r>
      <w:r w:rsidRPr="00B07091">
        <w:rPr>
          <w:rFonts w:ascii="Times New Roman" w:hAnsi="Times New Roman" w:cs="Times New Roman"/>
        </w:rPr>
        <w:t>) were normally distributed (in log scale) with variance term σ</w:t>
      </w:r>
      <w:r w:rsidRPr="00B07091">
        <w:rPr>
          <w:rFonts w:ascii="Times New Roman" w:hAnsi="Times New Roman" w:cs="Times New Roman"/>
          <w:vertAlign w:val="superscript"/>
        </w:rPr>
        <w:t>2</w:t>
      </w:r>
      <w:r w:rsidR="0092771F" w:rsidRPr="00B07091">
        <w:rPr>
          <w:rFonts w:ascii="Times New Roman" w:hAnsi="Times New Roman" w:cs="Times New Roman"/>
          <w:vertAlign w:val="subscript"/>
        </w:rPr>
        <w:t>i</w:t>
      </w:r>
      <w:proofErr w:type="gramStart"/>
      <w:r w:rsidR="0092771F" w:rsidRPr="00B07091">
        <w:rPr>
          <w:rFonts w:ascii="Times New Roman" w:hAnsi="Times New Roman" w:cs="Times New Roman"/>
          <w:vertAlign w:val="subscript"/>
        </w:rPr>
        <w:t>,obs</w:t>
      </w:r>
      <w:proofErr w:type="gramEnd"/>
      <w:r w:rsidR="00514FC8" w:rsidRPr="00B07091">
        <w:rPr>
          <w:rFonts w:ascii="Times New Roman" w:hAnsi="Times New Roman" w:cs="Times New Roman"/>
          <w:vertAlign w:val="superscript"/>
        </w:rPr>
        <w:t xml:space="preserve"> </w:t>
      </w:r>
      <w:r w:rsidRPr="00B07091">
        <w:rPr>
          <w:rFonts w:ascii="Times New Roman" w:hAnsi="Times New Roman" w:cs="Times New Roman"/>
        </w:rPr>
        <w:t>around the true log population values</w:t>
      </w:r>
      <w:r w:rsidR="0092771F" w:rsidRPr="00B07091">
        <w:rPr>
          <w:rFonts w:ascii="Times New Roman" w:hAnsi="Times New Roman" w:cs="Times New Roman"/>
        </w:rPr>
        <w:t xml:space="preserve"> for the species </w:t>
      </w:r>
      <w:proofErr w:type="spellStart"/>
      <w:r w:rsidR="0092771F" w:rsidRPr="00B07091">
        <w:rPr>
          <w:rFonts w:ascii="Times New Roman" w:hAnsi="Times New Roman" w:cs="Times New Roman"/>
          <w:i/>
        </w:rPr>
        <w:t>i</w:t>
      </w:r>
      <w:proofErr w:type="spellEnd"/>
      <w:r w:rsidR="00ED47C0" w:rsidRPr="00B07091">
        <w:rPr>
          <w:rFonts w:ascii="Times New Roman" w:hAnsi="Times New Roman" w:cs="Times New Roman"/>
        </w:rPr>
        <w:t xml:space="preserve"> (eqn. 4)</w:t>
      </w:r>
      <w:r w:rsidRPr="00B07091">
        <w:rPr>
          <w:rFonts w:ascii="Times New Roman" w:hAnsi="Times New Roman" w:cs="Times New Roman"/>
        </w:rPr>
        <w:t>.</w:t>
      </w:r>
      <w:r w:rsidR="00403737">
        <w:rPr>
          <w:rFonts w:ascii="Times New Roman" w:hAnsi="Times New Roman" w:cs="Times New Roman"/>
        </w:rPr>
        <w:t xml:space="preserve"> Prior specifications are found in the</w:t>
      </w:r>
      <w:r w:rsidR="00403737" w:rsidRPr="00B07091">
        <w:rPr>
          <w:rFonts w:ascii="Times New Roman" w:hAnsi="Times New Roman" w:cs="Times New Roman"/>
        </w:rPr>
        <w:t xml:space="preserve"> </w:t>
      </w:r>
      <w:r w:rsidR="00403737">
        <w:rPr>
          <w:rFonts w:ascii="Times New Roman" w:hAnsi="Times New Roman" w:cs="Times New Roman"/>
        </w:rPr>
        <w:t xml:space="preserve">accompanying </w:t>
      </w:r>
      <w:proofErr w:type="gramStart"/>
      <w:r w:rsidR="00403737">
        <w:rPr>
          <w:rFonts w:ascii="Times New Roman" w:hAnsi="Times New Roman" w:cs="Times New Roman"/>
        </w:rPr>
        <w:t>codes</w:t>
      </w:r>
      <w:proofErr w:type="gramEnd"/>
      <w:r w:rsidR="00403737" w:rsidRPr="00B07091">
        <w:rPr>
          <w:rFonts w:ascii="Times New Roman" w:hAnsi="Times New Roman" w:cs="Times New Roman"/>
        </w:rPr>
        <w:t xml:space="preserve"> </w:t>
      </w:r>
      <w:r w:rsidR="00BB4E46">
        <w:rPr>
          <w:rFonts w:ascii="Times New Roman" w:hAnsi="Times New Roman" w:cs="Times New Roman"/>
        </w:rPr>
        <w:t>in</w:t>
      </w:r>
      <w:r w:rsidR="00403737">
        <w:rPr>
          <w:rFonts w:ascii="Times New Roman" w:hAnsi="Times New Roman" w:cs="Times New Roman"/>
        </w:rPr>
        <w:t xml:space="preserve"> the </w:t>
      </w:r>
      <w:r w:rsidR="00403737" w:rsidRPr="00B07091">
        <w:rPr>
          <w:rFonts w:ascii="Times New Roman" w:hAnsi="Times New Roman" w:cs="Times New Roman"/>
        </w:rPr>
        <w:t>supplementary material</w:t>
      </w:r>
      <w:r w:rsidR="00403737">
        <w:rPr>
          <w:rFonts w:ascii="Times New Roman" w:hAnsi="Times New Roman" w:cs="Times New Roman"/>
        </w:rPr>
        <w:t>.</w:t>
      </w:r>
    </w:p>
    <w:p w14:paraId="4C8295CC" w14:textId="69245EF8" w:rsidR="000A6FBE" w:rsidRPr="00B07091" w:rsidRDefault="00E04902" w:rsidP="00EB64F3">
      <w:pPr>
        <w:spacing w:after="0" w:line="276" w:lineRule="auto"/>
        <w:ind w:firstLine="720"/>
        <w:rPr>
          <w:rFonts w:ascii="Times New Roman" w:hAnsi="Times New Roman" w:cs="Times New Roman"/>
        </w:rPr>
      </w:pPr>
      <w:r w:rsidRPr="00B07091">
        <w:rPr>
          <w:rFonts w:ascii="Times New Roman" w:hAnsi="Times New Roman" w:cs="Times New Roman"/>
        </w:rPr>
        <w:t xml:space="preserve">To detect possible non-linear </w:t>
      </w:r>
      <w:r w:rsidR="00D464BF" w:rsidRPr="00B07091">
        <w:rPr>
          <w:rFonts w:ascii="Times New Roman" w:hAnsi="Times New Roman" w:cs="Times New Roman"/>
        </w:rPr>
        <w:t>dynamics,</w:t>
      </w:r>
      <w:r w:rsidRPr="00B07091">
        <w:rPr>
          <w:rFonts w:ascii="Times New Roman" w:hAnsi="Times New Roman" w:cs="Times New Roman"/>
        </w:rPr>
        <w:t xml:space="preserve"> we tested for potential </w:t>
      </w:r>
      <w:r w:rsidR="00757653" w:rsidRPr="00B07091">
        <w:rPr>
          <w:rFonts w:ascii="Times New Roman" w:hAnsi="Times New Roman" w:cs="Times New Roman"/>
        </w:rPr>
        <w:t xml:space="preserve">pairwise </w:t>
      </w:r>
      <w:r w:rsidRPr="00B07091">
        <w:rPr>
          <w:rFonts w:ascii="Times New Roman" w:hAnsi="Times New Roman" w:cs="Times New Roman"/>
        </w:rPr>
        <w:t xml:space="preserve">interactions between </w:t>
      </w:r>
      <w:r w:rsidR="002D3A0D" w:rsidRPr="00B07091">
        <w:rPr>
          <w:rFonts w:ascii="Times New Roman" w:hAnsi="Times New Roman" w:cs="Times New Roman"/>
        </w:rPr>
        <w:t>all</w:t>
      </w:r>
      <w:r w:rsidRPr="00B07091">
        <w:rPr>
          <w:rFonts w:ascii="Times New Roman" w:hAnsi="Times New Roman" w:cs="Times New Roman"/>
        </w:rPr>
        <w:t xml:space="preserve"> explanatory variables </w:t>
      </w:r>
      <w:r w:rsidR="00280274" w:rsidRPr="00B07091">
        <w:rPr>
          <w:rFonts w:ascii="Times New Roman" w:hAnsi="Times New Roman" w:cs="Times New Roman"/>
        </w:rPr>
        <w:t xml:space="preserve">(table 1) </w:t>
      </w:r>
      <w:r w:rsidRPr="00B07091">
        <w:rPr>
          <w:rFonts w:ascii="Times New Roman" w:hAnsi="Times New Roman" w:cs="Times New Roman"/>
        </w:rPr>
        <w:t xml:space="preserve">using the </w:t>
      </w:r>
      <w:proofErr w:type="spellStart"/>
      <w:r w:rsidRPr="00B07091">
        <w:rPr>
          <w:rFonts w:ascii="Times New Roman" w:hAnsi="Times New Roman" w:cs="Times New Roman"/>
        </w:rPr>
        <w:t>Bürmann’s</w:t>
      </w:r>
      <w:proofErr w:type="spellEnd"/>
      <w:r w:rsidRPr="00B07091">
        <w:rPr>
          <w:rFonts w:ascii="Times New Roman" w:hAnsi="Times New Roman" w:cs="Times New Roman"/>
        </w:rPr>
        <w:t xml:space="preserve"> expansion </w:t>
      </w:r>
      <w:r w:rsidR="00316D83">
        <w:rPr>
          <w:rFonts w:ascii="Times New Roman" w:hAnsi="Times New Roman" w:cs="Times New Roman"/>
          <w:noProof/>
        </w:rPr>
        <w:t>(29)</w:t>
      </w:r>
      <w:r w:rsidRPr="00B07091">
        <w:rPr>
          <w:rFonts w:ascii="Times New Roman" w:hAnsi="Times New Roman" w:cs="Times New Roman"/>
        </w:rPr>
        <w:t>.</w:t>
      </w:r>
      <w:r w:rsidR="00E41444" w:rsidRPr="00B07091">
        <w:rPr>
          <w:rFonts w:ascii="Times New Roman" w:hAnsi="Times New Roman" w:cs="Times New Roman"/>
        </w:rPr>
        <w:t xml:space="preserve"> In short, the </w:t>
      </w:r>
      <w:proofErr w:type="spellStart"/>
      <w:r w:rsidR="00E41444" w:rsidRPr="00B07091">
        <w:rPr>
          <w:rFonts w:ascii="Times New Roman" w:hAnsi="Times New Roman" w:cs="Times New Roman"/>
        </w:rPr>
        <w:t>Bürmann’s</w:t>
      </w:r>
      <w:proofErr w:type="spellEnd"/>
      <w:r w:rsidR="00E41444" w:rsidRPr="00B07091">
        <w:rPr>
          <w:rFonts w:ascii="Times New Roman" w:hAnsi="Times New Roman" w:cs="Times New Roman"/>
        </w:rPr>
        <w:t xml:space="preserve"> expansion test checks interaction between pairs of variables by analysing the residuals between additive models with or without interaction thus finding the best fit and reports significance.</w:t>
      </w:r>
      <w:r w:rsidRPr="00B07091">
        <w:rPr>
          <w:rFonts w:ascii="Times New Roman" w:hAnsi="Times New Roman" w:cs="Times New Roman"/>
        </w:rPr>
        <w:t xml:space="preserve"> </w:t>
      </w:r>
      <w:r w:rsidR="002C3B54" w:rsidRPr="00B07091">
        <w:rPr>
          <w:rFonts w:ascii="Times New Roman" w:hAnsi="Times New Roman" w:cs="Times New Roman"/>
        </w:rPr>
        <w:t>Only w</w:t>
      </w:r>
      <w:r w:rsidRPr="00B07091">
        <w:rPr>
          <w:rFonts w:ascii="Times New Roman" w:hAnsi="Times New Roman" w:cs="Times New Roman"/>
        </w:rPr>
        <w:t>hen non-linearity was detected</w:t>
      </w:r>
      <w:r w:rsidR="002C3B54" w:rsidRPr="00B07091">
        <w:rPr>
          <w:rFonts w:ascii="Times New Roman" w:hAnsi="Times New Roman" w:cs="Times New Roman"/>
        </w:rPr>
        <w:t xml:space="preserve"> did</w:t>
      </w:r>
      <w:r w:rsidRPr="00B07091">
        <w:rPr>
          <w:rFonts w:ascii="Times New Roman" w:hAnsi="Times New Roman" w:cs="Times New Roman"/>
        </w:rPr>
        <w:t xml:space="preserve"> we include a threshold non-additive effect in the Gompertz state-space model</w:t>
      </w:r>
      <w:r w:rsidR="00681ADF" w:rsidRPr="00B07091">
        <w:rPr>
          <w:rFonts w:ascii="Times New Roman" w:hAnsi="Times New Roman" w:cs="Times New Roman"/>
          <w:i/>
          <w:iCs/>
        </w:rPr>
        <w:t xml:space="preserve"> </w:t>
      </w:r>
      <w:r w:rsidR="0088704B" w:rsidRPr="00B07091">
        <w:rPr>
          <w:rFonts w:ascii="Times New Roman" w:hAnsi="Times New Roman" w:cs="Times New Roman"/>
          <w:noProof/>
        </w:rPr>
        <w:t>(12)</w:t>
      </w:r>
      <w:r w:rsidR="00681ADF" w:rsidRPr="00B07091">
        <w:rPr>
          <w:rFonts w:ascii="Times New Roman" w:hAnsi="Times New Roman" w:cs="Times New Roman"/>
        </w:rPr>
        <w:t>. In our case (see results) the threshold non-additive effect let</w:t>
      </w:r>
      <w:r w:rsidRPr="00B07091">
        <w:rPr>
          <w:rFonts w:ascii="Times New Roman" w:hAnsi="Times New Roman" w:cs="Times New Roman"/>
        </w:rPr>
        <w:t xml:space="preserve"> the growth potential </w:t>
      </w:r>
      <w:r w:rsidR="00314A08" w:rsidRPr="00B07091">
        <w:rPr>
          <w:rFonts w:ascii="Times New Roman" w:hAnsi="Times New Roman" w:cs="Times New Roman"/>
        </w:rPr>
        <w:t xml:space="preserve">of species </w:t>
      </w:r>
      <w:proofErr w:type="spellStart"/>
      <w:r w:rsidR="00314A08" w:rsidRPr="00B07091">
        <w:rPr>
          <w:rFonts w:ascii="Times New Roman" w:hAnsi="Times New Roman" w:cs="Times New Roman"/>
          <w:i/>
        </w:rPr>
        <w:t>i</w:t>
      </w:r>
      <w:proofErr w:type="spellEnd"/>
      <w:r w:rsidR="00314A08" w:rsidRPr="00B07091">
        <w:rPr>
          <w:rFonts w:ascii="Times New Roman" w:hAnsi="Times New Roman" w:cs="Times New Roman"/>
        </w:rPr>
        <w:t xml:space="preserve"> </w:t>
      </w:r>
      <w:r w:rsidRPr="00B07091">
        <w:rPr>
          <w:rFonts w:ascii="Times New Roman" w:hAnsi="Times New Roman" w:cs="Times New Roman"/>
        </w:rPr>
        <w:t>and the</w:t>
      </w:r>
      <w:r w:rsidR="00681ADF" w:rsidRPr="00B07091">
        <w:rPr>
          <w:rFonts w:ascii="Times New Roman" w:hAnsi="Times New Roman" w:cs="Times New Roman"/>
        </w:rPr>
        <w:t xml:space="preserve"> </w:t>
      </w:r>
      <w:r w:rsidRPr="00B07091">
        <w:rPr>
          <w:rFonts w:ascii="Times New Roman" w:hAnsi="Times New Roman" w:cs="Times New Roman"/>
        </w:rPr>
        <w:t xml:space="preserve">effect </w:t>
      </w:r>
      <w:r w:rsidR="00514FC8" w:rsidRPr="00B07091">
        <w:rPr>
          <w:rFonts w:ascii="Times New Roman" w:hAnsi="Times New Roman" w:cs="Times New Roman"/>
        </w:rPr>
        <w:t xml:space="preserve">of species </w:t>
      </w:r>
      <w:r w:rsidR="00514FC8" w:rsidRPr="00B07091">
        <w:rPr>
          <w:rFonts w:ascii="Times New Roman" w:hAnsi="Times New Roman" w:cs="Times New Roman"/>
          <w:i/>
        </w:rPr>
        <w:t>j</w:t>
      </w:r>
      <w:r w:rsidR="00514FC8" w:rsidRPr="00B07091">
        <w:rPr>
          <w:rFonts w:ascii="Times New Roman" w:hAnsi="Times New Roman" w:cs="Times New Roman"/>
        </w:rPr>
        <w:t xml:space="preserve"> </w:t>
      </w:r>
      <w:r w:rsidR="00314A08" w:rsidRPr="00B07091">
        <w:rPr>
          <w:rFonts w:ascii="Times New Roman" w:hAnsi="Times New Roman" w:cs="Times New Roman"/>
        </w:rPr>
        <w:t xml:space="preserve">on species </w:t>
      </w:r>
      <w:proofErr w:type="spellStart"/>
      <w:r w:rsidR="00314A08" w:rsidRPr="00B07091">
        <w:rPr>
          <w:rFonts w:ascii="Times New Roman" w:hAnsi="Times New Roman" w:cs="Times New Roman"/>
          <w:i/>
          <w:iCs/>
        </w:rPr>
        <w:t>i</w:t>
      </w:r>
      <w:proofErr w:type="spellEnd"/>
      <w:r w:rsidR="00314A08" w:rsidRPr="00B07091">
        <w:rPr>
          <w:rFonts w:ascii="Times New Roman" w:hAnsi="Times New Roman" w:cs="Times New Roman"/>
        </w:rPr>
        <w:t xml:space="preserve"> </w:t>
      </w:r>
      <w:r w:rsidRPr="00B07091">
        <w:rPr>
          <w:rFonts w:ascii="Times New Roman" w:hAnsi="Times New Roman" w:cs="Times New Roman"/>
        </w:rPr>
        <w:t>(</w:t>
      </w:r>
      <w:r w:rsidR="00681ADF" w:rsidRPr="00B07091">
        <w:rPr>
          <w:rFonts w:ascii="Times New Roman" w:hAnsi="Times New Roman" w:cs="Times New Roman"/>
        </w:rPr>
        <w:t>a</w:t>
      </w:r>
      <w:r w:rsidR="00681ADF" w:rsidRPr="00B07091">
        <w:rPr>
          <w:rFonts w:ascii="Times New Roman" w:hAnsi="Times New Roman" w:cs="Times New Roman"/>
          <w:vertAlign w:val="subscript"/>
        </w:rPr>
        <w:t>i</w:t>
      </w:r>
      <w:proofErr w:type="gramStart"/>
      <w:r w:rsidR="00681ADF" w:rsidRPr="00B07091">
        <w:rPr>
          <w:rFonts w:ascii="Times New Roman" w:hAnsi="Times New Roman" w:cs="Times New Roman"/>
          <w:vertAlign w:val="subscript"/>
        </w:rPr>
        <w:t>,0</w:t>
      </w:r>
      <w:proofErr w:type="gramEnd"/>
      <w:r w:rsidR="00681ADF" w:rsidRPr="00B07091">
        <w:rPr>
          <w:rFonts w:ascii="Times New Roman" w:hAnsi="Times New Roman" w:cs="Times New Roman"/>
        </w:rPr>
        <w:t xml:space="preserve"> /</w:t>
      </w:r>
      <w:r w:rsidRPr="00B07091">
        <w:rPr>
          <w:rFonts w:ascii="Times New Roman" w:hAnsi="Times New Roman" w:cs="Times New Roman"/>
          <w:i/>
          <w:iCs/>
        </w:rPr>
        <w:t>b</w:t>
      </w:r>
      <w:r w:rsidRPr="00B07091">
        <w:rPr>
          <w:rFonts w:ascii="Times New Roman" w:hAnsi="Times New Roman" w:cs="Times New Roman"/>
          <w:i/>
          <w:iCs/>
          <w:vertAlign w:val="subscript"/>
        </w:rPr>
        <w:t>j0</w:t>
      </w:r>
      <w:r w:rsidRPr="00B07091">
        <w:rPr>
          <w:rFonts w:ascii="Times New Roman" w:hAnsi="Times New Roman" w:cs="Times New Roman"/>
        </w:rPr>
        <w:t xml:space="preserve"> and </w:t>
      </w:r>
      <w:proofErr w:type="spellStart"/>
      <w:r w:rsidR="00681ADF" w:rsidRPr="00B07091">
        <w:rPr>
          <w:rFonts w:ascii="Times New Roman" w:hAnsi="Times New Roman" w:cs="Times New Roman"/>
        </w:rPr>
        <w:t>a</w:t>
      </w:r>
      <w:r w:rsidR="00681ADF" w:rsidRPr="00B07091">
        <w:rPr>
          <w:rFonts w:ascii="Times New Roman" w:hAnsi="Times New Roman" w:cs="Times New Roman"/>
          <w:vertAlign w:val="subscript"/>
        </w:rPr>
        <w:t>i,j</w:t>
      </w:r>
      <w:proofErr w:type="spellEnd"/>
      <w:r w:rsidR="00681ADF" w:rsidRPr="00B07091">
        <w:rPr>
          <w:rFonts w:ascii="Times New Roman" w:hAnsi="Times New Roman" w:cs="Times New Roman"/>
          <w:i/>
          <w:iCs/>
        </w:rPr>
        <w:t xml:space="preserve"> /</w:t>
      </w:r>
      <w:proofErr w:type="spellStart"/>
      <w:r w:rsidRPr="00B07091">
        <w:rPr>
          <w:rFonts w:ascii="Times New Roman" w:hAnsi="Times New Roman" w:cs="Times New Roman"/>
          <w:i/>
          <w:iCs/>
        </w:rPr>
        <w:t>b</w:t>
      </w:r>
      <w:r w:rsidR="00514FC8" w:rsidRPr="00B07091">
        <w:rPr>
          <w:rFonts w:ascii="Times New Roman" w:hAnsi="Times New Roman" w:cs="Times New Roman"/>
          <w:i/>
          <w:iCs/>
          <w:vertAlign w:val="subscript"/>
        </w:rPr>
        <w:t>ij</w:t>
      </w:r>
      <w:proofErr w:type="spellEnd"/>
      <w:r w:rsidR="00681ADF" w:rsidRPr="00B07091">
        <w:rPr>
          <w:rFonts w:ascii="Times New Roman" w:hAnsi="Times New Roman" w:cs="Times New Roman"/>
        </w:rPr>
        <w:t xml:space="preserve"> respectively) change</w:t>
      </w:r>
      <w:r w:rsidRPr="00B07091">
        <w:rPr>
          <w:rFonts w:ascii="Times New Roman" w:hAnsi="Times New Roman" w:cs="Times New Roman"/>
        </w:rPr>
        <w:t xml:space="preserve"> according to whether the </w:t>
      </w:r>
      <w:r w:rsidR="000A6FBE" w:rsidRPr="00B07091">
        <w:rPr>
          <w:rFonts w:ascii="Times New Roman" w:hAnsi="Times New Roman" w:cs="Times New Roman"/>
        </w:rPr>
        <w:t xml:space="preserve">threshold variable </w:t>
      </w:r>
      <w:r w:rsidR="00893B5F" w:rsidRPr="00B07091">
        <w:rPr>
          <w:rFonts w:ascii="Times New Roman" w:hAnsi="Times New Roman" w:cs="Times New Roman"/>
        </w:rPr>
        <w:t>(</w:t>
      </w:r>
      <w:r w:rsidR="00122158" w:rsidRPr="00B07091">
        <w:rPr>
          <w:rFonts w:ascii="Times New Roman" w:hAnsi="Times New Roman" w:cs="Times New Roman"/>
        </w:rPr>
        <w:t>X</w:t>
      </w:r>
      <w:r w:rsidR="00893B5F" w:rsidRPr="00B07091">
        <w:rPr>
          <w:rFonts w:ascii="Times New Roman" w:hAnsi="Times New Roman" w:cs="Times New Roman"/>
        </w:rPr>
        <w:t xml:space="preserve">) </w:t>
      </w:r>
      <w:r w:rsidRPr="00B07091">
        <w:rPr>
          <w:rFonts w:ascii="Times New Roman" w:hAnsi="Times New Roman" w:cs="Times New Roman"/>
        </w:rPr>
        <w:t xml:space="preserve">was </w:t>
      </w:r>
      <w:r w:rsidR="00681ADF" w:rsidRPr="00B07091">
        <w:rPr>
          <w:rFonts w:ascii="Times New Roman" w:hAnsi="Times New Roman" w:cs="Times New Roman"/>
        </w:rPr>
        <w:t>below or above</w:t>
      </w:r>
      <w:r w:rsidRPr="00B07091">
        <w:rPr>
          <w:rFonts w:ascii="Times New Roman" w:hAnsi="Times New Roman" w:cs="Times New Roman"/>
        </w:rPr>
        <w:t xml:space="preserve"> some threshold level </w:t>
      </w:r>
      <w:r w:rsidRPr="00B07091">
        <w:rPr>
          <w:rFonts w:ascii="Times New Roman" w:hAnsi="Times New Roman" w:cs="Times New Roman"/>
          <w:iCs/>
        </w:rPr>
        <w:sym w:font="Symbol" w:char="F071"/>
      </w:r>
      <w:r w:rsidRPr="00B07091">
        <w:rPr>
          <w:rFonts w:ascii="Times New Roman" w:hAnsi="Times New Roman" w:cs="Times New Roman"/>
          <w:iCs/>
        </w:rPr>
        <w:t xml:space="preserve"> </w:t>
      </w:r>
      <w:r w:rsidR="00ED47C0" w:rsidRPr="00B07091">
        <w:rPr>
          <w:rFonts w:ascii="Times New Roman" w:hAnsi="Times New Roman" w:cs="Times New Roman"/>
          <w:iCs/>
        </w:rPr>
        <w:t>(eqn. 5)</w:t>
      </w:r>
      <w:r w:rsidR="00ED47C0" w:rsidRPr="00B07091">
        <w:rPr>
          <w:rFonts w:ascii="Times New Roman" w:hAnsi="Times New Roman" w:cs="Times New Roman"/>
        </w:rPr>
        <w:t>.</w:t>
      </w:r>
    </w:p>
    <w:p w14:paraId="48B9A35A" w14:textId="56A5DA82" w:rsidR="00E04902" w:rsidRPr="00B07091" w:rsidRDefault="008C6E06" w:rsidP="0074100C">
      <w:pPr>
        <w:spacing w:after="0" w:line="276" w:lineRule="auto"/>
        <w:ind w:firstLine="720"/>
        <w:rPr>
          <w:rFonts w:ascii="Times New Roman" w:hAnsi="Times New Roman" w:cs="Times New Roman"/>
        </w:rPr>
      </w:pPr>
      <w:r w:rsidRPr="00B07091">
        <w:rPr>
          <w:rFonts w:ascii="Times New Roman" w:hAnsi="Times New Roman" w:cs="Times New Roman"/>
        </w:rPr>
        <w:t>To detect if and at w</w:t>
      </w:r>
      <w:r w:rsidR="001B1567" w:rsidRPr="00B07091">
        <w:rPr>
          <w:rFonts w:ascii="Times New Roman" w:hAnsi="Times New Roman" w:cs="Times New Roman"/>
        </w:rPr>
        <w:t>hat</w:t>
      </w:r>
      <w:r w:rsidRPr="00B07091">
        <w:rPr>
          <w:rFonts w:ascii="Times New Roman" w:hAnsi="Times New Roman" w:cs="Times New Roman"/>
        </w:rPr>
        <w:t xml:space="preserve"> value </w:t>
      </w:r>
      <w:r w:rsidR="00493C45" w:rsidRPr="00B07091">
        <w:rPr>
          <w:rFonts w:ascii="Times New Roman" w:hAnsi="Times New Roman" w:cs="Times New Roman"/>
        </w:rPr>
        <w:t xml:space="preserve">the </w:t>
      </w:r>
      <w:r w:rsidRPr="00B07091">
        <w:rPr>
          <w:rFonts w:ascii="Times New Roman" w:hAnsi="Times New Roman" w:cs="Times New Roman"/>
        </w:rPr>
        <w:t xml:space="preserve">covariate </w:t>
      </w:r>
      <w:r w:rsidR="00122158" w:rsidRPr="00B07091">
        <w:rPr>
          <w:rFonts w:ascii="Times New Roman" w:hAnsi="Times New Roman" w:cs="Times New Roman"/>
        </w:rPr>
        <w:t>X</w:t>
      </w:r>
      <w:r w:rsidR="00493C45" w:rsidRPr="00B07091">
        <w:rPr>
          <w:rFonts w:ascii="Times New Roman" w:hAnsi="Times New Roman" w:cs="Times New Roman"/>
        </w:rPr>
        <w:t xml:space="preserve"> </w:t>
      </w:r>
      <w:r w:rsidRPr="00B07091">
        <w:rPr>
          <w:rFonts w:ascii="Times New Roman" w:hAnsi="Times New Roman" w:cs="Times New Roman"/>
        </w:rPr>
        <w:t xml:space="preserve">has a meaningful threshold effect, the model calculates the log-likelihood </w:t>
      </w:r>
      <w:r w:rsidR="00A307CF" w:rsidRPr="00B07091">
        <w:rPr>
          <w:rFonts w:ascii="Times New Roman" w:hAnsi="Times New Roman" w:cs="Times New Roman"/>
        </w:rPr>
        <w:t xml:space="preserve">of the process equation (i.e. the underlying population dynamics) </w:t>
      </w:r>
      <w:r w:rsidRPr="00B07091">
        <w:rPr>
          <w:rFonts w:ascii="Times New Roman" w:hAnsi="Times New Roman" w:cs="Times New Roman"/>
        </w:rPr>
        <w:t xml:space="preserve">for each value of </w:t>
      </w:r>
      <w:r w:rsidR="00122158" w:rsidRPr="00B07091">
        <w:rPr>
          <w:rFonts w:ascii="Times New Roman" w:hAnsi="Times New Roman" w:cs="Times New Roman"/>
        </w:rPr>
        <w:t>X</w:t>
      </w:r>
      <w:r w:rsidR="00A307CF" w:rsidRPr="00B07091" w:rsidDel="00A307CF">
        <w:rPr>
          <w:rFonts w:ascii="Times New Roman" w:hAnsi="Times New Roman" w:cs="Times New Roman"/>
        </w:rPr>
        <w:t xml:space="preserve"> </w:t>
      </w:r>
      <w:r w:rsidRPr="00B07091">
        <w:rPr>
          <w:rFonts w:ascii="Times New Roman" w:hAnsi="Times New Roman" w:cs="Times New Roman"/>
        </w:rPr>
        <w:t>in the data (</w:t>
      </w:r>
      <w:r w:rsidR="00A307CF" w:rsidRPr="00B07091">
        <w:rPr>
          <w:rFonts w:ascii="Times New Roman" w:hAnsi="Times New Roman" w:cs="Times New Roman"/>
        </w:rPr>
        <w:t>i.e.</w:t>
      </w:r>
      <w:r w:rsidR="00C92C2A" w:rsidRPr="00B07091">
        <w:rPr>
          <w:rFonts w:ascii="Times New Roman" w:hAnsi="Times New Roman" w:cs="Times New Roman"/>
        </w:rPr>
        <w:t>,</w:t>
      </w:r>
      <w:r w:rsidR="00A307CF" w:rsidRPr="00B07091">
        <w:rPr>
          <w:rFonts w:ascii="Times New Roman" w:hAnsi="Times New Roman" w:cs="Times New Roman"/>
        </w:rPr>
        <w:t xml:space="preserve"> </w:t>
      </w:r>
      <w:r w:rsidR="00DE29E3" w:rsidRPr="00B07091">
        <w:rPr>
          <w:rFonts w:ascii="Times New Roman" w:hAnsi="Times New Roman" w:cs="Times New Roman"/>
        </w:rPr>
        <w:t xml:space="preserve">capelin abundance </w:t>
      </w:r>
      <w:proofErr w:type="gramStart"/>
      <w:r w:rsidR="00DE29E3" w:rsidRPr="00B07091">
        <w:rPr>
          <w:rFonts w:ascii="Times New Roman" w:hAnsi="Times New Roman" w:cs="Times New Roman"/>
        </w:rPr>
        <w:t>ln(</w:t>
      </w:r>
      <w:proofErr w:type="spellStart"/>
      <w:proofErr w:type="gramEnd"/>
      <w:r w:rsidR="00DE29E3" w:rsidRPr="00B07091">
        <w:rPr>
          <w:rFonts w:ascii="Times New Roman" w:hAnsi="Times New Roman" w:cs="Times New Roman"/>
        </w:rPr>
        <w:t>N</w:t>
      </w:r>
      <w:r w:rsidR="00DE29E3" w:rsidRPr="00B07091">
        <w:rPr>
          <w:rFonts w:ascii="Times New Roman" w:hAnsi="Times New Roman" w:cs="Times New Roman"/>
          <w:vertAlign w:val="subscript"/>
        </w:rPr>
        <w:t>cap</w:t>
      </w:r>
      <w:proofErr w:type="spellEnd"/>
      <w:r w:rsidR="00DE29E3" w:rsidRPr="00B07091">
        <w:rPr>
          <w:rFonts w:ascii="Times New Roman" w:hAnsi="Times New Roman" w:cs="Times New Roman"/>
        </w:rPr>
        <w:t>)</w:t>
      </w:r>
      <w:r w:rsidR="00225B92" w:rsidRPr="00B07091">
        <w:rPr>
          <w:rFonts w:ascii="Times New Roman" w:hAnsi="Times New Roman" w:cs="Times New Roman"/>
        </w:rPr>
        <w:t>, see codes in supplementary materials</w:t>
      </w:r>
      <w:r w:rsidRPr="00B07091">
        <w:rPr>
          <w:rFonts w:ascii="Times New Roman" w:hAnsi="Times New Roman" w:cs="Times New Roman"/>
        </w:rPr>
        <w:t xml:space="preserve">). A threshold </w:t>
      </w:r>
      <w:r w:rsidR="00A307CF" w:rsidRPr="00B07091">
        <w:rPr>
          <w:rFonts w:ascii="Times New Roman" w:hAnsi="Times New Roman" w:cs="Times New Roman"/>
        </w:rPr>
        <w:t>is</w:t>
      </w:r>
      <w:r w:rsidRPr="00B07091">
        <w:rPr>
          <w:rFonts w:ascii="Times New Roman" w:hAnsi="Times New Roman" w:cs="Times New Roman"/>
        </w:rPr>
        <w:t xml:space="preserve"> </w:t>
      </w:r>
      <w:r w:rsidR="0026153E" w:rsidRPr="00B07091">
        <w:rPr>
          <w:rFonts w:ascii="Times New Roman" w:hAnsi="Times New Roman" w:cs="Times New Roman"/>
        </w:rPr>
        <w:t xml:space="preserve">identified </w:t>
      </w:r>
      <w:r w:rsidR="00A307CF" w:rsidRPr="00B07091">
        <w:rPr>
          <w:rFonts w:ascii="Times New Roman" w:hAnsi="Times New Roman" w:cs="Times New Roman"/>
        </w:rPr>
        <w:t xml:space="preserve">when a </w:t>
      </w:r>
      <w:r w:rsidR="00D144BA" w:rsidRPr="00B07091">
        <w:rPr>
          <w:rFonts w:ascii="Times New Roman" w:hAnsi="Times New Roman" w:cs="Times New Roman"/>
        </w:rPr>
        <w:t xml:space="preserve">single </w:t>
      </w:r>
      <w:r w:rsidR="00A307CF" w:rsidRPr="00B07091">
        <w:rPr>
          <w:rFonts w:ascii="Times New Roman" w:hAnsi="Times New Roman" w:cs="Times New Roman"/>
        </w:rPr>
        <w:t>value</w:t>
      </w:r>
      <w:r w:rsidR="00122158" w:rsidRPr="00B07091">
        <w:rPr>
          <w:rFonts w:ascii="Times New Roman" w:hAnsi="Times New Roman" w:cs="Times New Roman"/>
        </w:rPr>
        <w:t xml:space="preserve"> </w:t>
      </w:r>
      <w:r w:rsidR="00122158" w:rsidRPr="00B07091">
        <w:rPr>
          <w:rFonts w:ascii="Times New Roman" w:hAnsi="Times New Roman" w:cs="Times New Roman"/>
          <w:iCs/>
        </w:rPr>
        <w:sym w:font="Symbol" w:char="F071"/>
      </w:r>
      <w:r w:rsidR="00A307CF" w:rsidRPr="00B07091">
        <w:rPr>
          <w:rFonts w:ascii="Times New Roman" w:hAnsi="Times New Roman" w:cs="Times New Roman"/>
        </w:rPr>
        <w:t xml:space="preserve"> of </w:t>
      </w:r>
      <w:r w:rsidR="00122158" w:rsidRPr="00B07091">
        <w:rPr>
          <w:rFonts w:ascii="Times New Roman" w:hAnsi="Times New Roman" w:cs="Times New Roman"/>
        </w:rPr>
        <w:t>X</w:t>
      </w:r>
      <w:r w:rsidR="00A307CF" w:rsidRPr="00B07091" w:rsidDel="00A307CF">
        <w:rPr>
          <w:rFonts w:ascii="Times New Roman" w:hAnsi="Times New Roman" w:cs="Times New Roman"/>
        </w:rPr>
        <w:t xml:space="preserve"> </w:t>
      </w:r>
      <w:r w:rsidR="00A307CF" w:rsidRPr="00B07091">
        <w:rPr>
          <w:rFonts w:ascii="Times New Roman" w:hAnsi="Times New Roman" w:cs="Times New Roman"/>
        </w:rPr>
        <w:t xml:space="preserve">produces a </w:t>
      </w:r>
      <w:r w:rsidRPr="00B07091">
        <w:rPr>
          <w:rFonts w:ascii="Times New Roman" w:hAnsi="Times New Roman" w:cs="Times New Roman"/>
        </w:rPr>
        <w:t>large</w:t>
      </w:r>
      <w:r w:rsidR="00A307CF" w:rsidRPr="00B07091">
        <w:rPr>
          <w:rFonts w:ascii="Times New Roman" w:hAnsi="Times New Roman" w:cs="Times New Roman"/>
        </w:rPr>
        <w:t xml:space="preserve"> spike in </w:t>
      </w:r>
      <w:r w:rsidRPr="00B07091">
        <w:rPr>
          <w:rFonts w:ascii="Times New Roman" w:hAnsi="Times New Roman" w:cs="Times New Roman"/>
        </w:rPr>
        <w:t>log-likelihood (figure S3).</w:t>
      </w:r>
      <w:r w:rsidR="00A307CF" w:rsidRPr="00B07091">
        <w:rPr>
          <w:rFonts w:ascii="Times New Roman" w:hAnsi="Times New Roman" w:cs="Times New Roman"/>
        </w:rPr>
        <w:t xml:space="preserve"> </w:t>
      </w:r>
      <w:r w:rsidR="00122158" w:rsidRPr="00B07091">
        <w:rPr>
          <w:rFonts w:ascii="Times New Roman" w:hAnsi="Times New Roman" w:cs="Times New Roman"/>
        </w:rPr>
        <w:t xml:space="preserve">In which case, the threshold value is located somewhere between </w:t>
      </w:r>
      <w:r w:rsidR="00C92C2A" w:rsidRPr="00B07091">
        <w:rPr>
          <w:rFonts w:ascii="Times New Roman" w:hAnsi="Times New Roman" w:cs="Times New Roman"/>
        </w:rPr>
        <w:t>≥</w:t>
      </w:r>
      <w:proofErr w:type="spellStart"/>
      <w:r w:rsidR="00122158" w:rsidRPr="00B07091">
        <w:rPr>
          <w:rFonts w:ascii="Times New Roman" w:hAnsi="Times New Roman" w:cs="Times New Roman"/>
        </w:rPr>
        <w:t>θ</w:t>
      </w:r>
      <w:r w:rsidR="00122158" w:rsidRPr="00B07091">
        <w:rPr>
          <w:rFonts w:ascii="Times New Roman" w:hAnsi="Times New Roman" w:cs="Times New Roman"/>
          <w:vertAlign w:val="subscript"/>
        </w:rPr>
        <w:t>b</w:t>
      </w:r>
      <w:proofErr w:type="spellEnd"/>
      <w:r w:rsidR="00C92C2A" w:rsidRPr="00B07091">
        <w:rPr>
          <w:rFonts w:ascii="Times New Roman" w:hAnsi="Times New Roman" w:cs="Times New Roman"/>
        </w:rPr>
        <w:t xml:space="preserve"> and &lt;</w:t>
      </w:r>
      <w:r w:rsidR="00122158" w:rsidRPr="00B07091">
        <w:rPr>
          <w:rFonts w:ascii="Times New Roman" w:hAnsi="Times New Roman" w:cs="Times New Roman"/>
          <w:vertAlign w:val="subscript"/>
        </w:rPr>
        <w:t xml:space="preserve"> </w:t>
      </w:r>
      <w:r w:rsidR="00122158" w:rsidRPr="00B07091">
        <w:rPr>
          <w:rFonts w:ascii="Times New Roman" w:hAnsi="Times New Roman" w:cs="Times New Roman"/>
        </w:rPr>
        <w:t xml:space="preserve">θ with </w:t>
      </w:r>
      <w:proofErr w:type="spellStart"/>
      <w:r w:rsidR="00122158" w:rsidRPr="00B07091">
        <w:rPr>
          <w:rFonts w:ascii="Times New Roman" w:hAnsi="Times New Roman" w:cs="Times New Roman"/>
        </w:rPr>
        <w:t>θ</w:t>
      </w:r>
      <w:r w:rsidR="00122158" w:rsidRPr="00B07091">
        <w:rPr>
          <w:rFonts w:ascii="Times New Roman" w:hAnsi="Times New Roman" w:cs="Times New Roman"/>
          <w:vertAlign w:val="subscript"/>
        </w:rPr>
        <w:t>b</w:t>
      </w:r>
      <w:proofErr w:type="spellEnd"/>
      <w:r w:rsidR="00122158" w:rsidRPr="00B07091">
        <w:rPr>
          <w:rFonts w:ascii="Times New Roman" w:hAnsi="Times New Roman" w:cs="Times New Roman"/>
        </w:rPr>
        <w:t xml:space="preserve"> being the first value lower than the selected θ. </w:t>
      </w:r>
      <w:r w:rsidR="00D144BA" w:rsidRPr="00B07091">
        <w:rPr>
          <w:rFonts w:ascii="Times New Roman" w:hAnsi="Times New Roman" w:cs="Times New Roman"/>
        </w:rPr>
        <w:t xml:space="preserve">Moreover, </w:t>
      </w:r>
      <w:r w:rsidR="00F66098" w:rsidRPr="00B07091">
        <w:rPr>
          <w:rFonts w:ascii="Times New Roman" w:hAnsi="Times New Roman" w:cs="Times New Roman"/>
        </w:rPr>
        <w:t xml:space="preserve">to remove </w:t>
      </w:r>
      <w:r w:rsidR="00D144BA" w:rsidRPr="00B07091">
        <w:rPr>
          <w:rFonts w:ascii="Times New Roman" w:hAnsi="Times New Roman" w:cs="Times New Roman"/>
        </w:rPr>
        <w:t xml:space="preserve">any </w:t>
      </w:r>
      <w:r w:rsidR="00F66098" w:rsidRPr="00B07091">
        <w:rPr>
          <w:rFonts w:ascii="Times New Roman" w:hAnsi="Times New Roman" w:cs="Times New Roman"/>
        </w:rPr>
        <w:t>“border” effect</w:t>
      </w:r>
      <w:r w:rsidR="00810F73" w:rsidRPr="00B07091">
        <w:rPr>
          <w:rFonts w:ascii="Times New Roman" w:hAnsi="Times New Roman" w:cs="Times New Roman"/>
        </w:rPr>
        <w:t>s</w:t>
      </w:r>
      <w:r w:rsidR="00F66098" w:rsidRPr="00B07091">
        <w:rPr>
          <w:rFonts w:ascii="Times New Roman" w:hAnsi="Times New Roman" w:cs="Times New Roman"/>
        </w:rPr>
        <w:t xml:space="preserve"> i.e. spurious </w:t>
      </w:r>
      <w:r w:rsidR="00D144BA" w:rsidRPr="00B07091">
        <w:rPr>
          <w:rFonts w:ascii="Times New Roman" w:hAnsi="Times New Roman" w:cs="Times New Roman"/>
        </w:rPr>
        <w:t xml:space="preserve">detection of a threshold value </w:t>
      </w:r>
      <w:r w:rsidR="00F66098" w:rsidRPr="00B07091">
        <w:rPr>
          <w:rFonts w:ascii="Times New Roman" w:hAnsi="Times New Roman" w:cs="Times New Roman"/>
        </w:rPr>
        <w:t>due to very unequal partition</w:t>
      </w:r>
      <w:r w:rsidR="00D144BA" w:rsidRPr="00B07091">
        <w:rPr>
          <w:rFonts w:ascii="Times New Roman" w:hAnsi="Times New Roman" w:cs="Times New Roman"/>
        </w:rPr>
        <w:t>ing</w:t>
      </w:r>
      <w:r w:rsidR="00F66098" w:rsidRPr="00B07091">
        <w:rPr>
          <w:rFonts w:ascii="Times New Roman" w:hAnsi="Times New Roman" w:cs="Times New Roman"/>
        </w:rPr>
        <w:t xml:space="preserve"> of the data (e.g. 95% below threshold </w:t>
      </w:r>
      <w:r w:rsidR="00F66098" w:rsidRPr="00B07091">
        <w:rPr>
          <w:rFonts w:ascii="Times New Roman" w:hAnsi="Times New Roman" w:cs="Times New Roman"/>
          <w:i/>
          <w:iCs/>
        </w:rPr>
        <w:t>vs.</w:t>
      </w:r>
      <w:r w:rsidR="00F66098" w:rsidRPr="00B07091">
        <w:rPr>
          <w:rFonts w:ascii="Times New Roman" w:hAnsi="Times New Roman" w:cs="Times New Roman"/>
        </w:rPr>
        <w:t xml:space="preserve"> 5% above), our model searched for </w:t>
      </w:r>
      <w:r w:rsidR="00D144BA" w:rsidRPr="00B07091">
        <w:rPr>
          <w:rFonts w:ascii="Times New Roman" w:hAnsi="Times New Roman" w:cs="Times New Roman"/>
        </w:rPr>
        <w:t xml:space="preserve">a </w:t>
      </w:r>
      <w:r w:rsidR="00F66098" w:rsidRPr="00B07091">
        <w:rPr>
          <w:rFonts w:ascii="Times New Roman" w:hAnsi="Times New Roman" w:cs="Times New Roman"/>
        </w:rPr>
        <w:t xml:space="preserve">potential threshold </w:t>
      </w:r>
      <w:r w:rsidR="00D144BA" w:rsidRPr="00B07091">
        <w:rPr>
          <w:rFonts w:ascii="Times New Roman" w:hAnsi="Times New Roman" w:cs="Times New Roman"/>
        </w:rPr>
        <w:t xml:space="preserve">value </w:t>
      </w:r>
      <w:r w:rsidR="00122158" w:rsidRPr="00B07091">
        <w:rPr>
          <w:rFonts w:ascii="Times New Roman" w:hAnsi="Times New Roman" w:cs="Times New Roman"/>
        </w:rPr>
        <w:t xml:space="preserve">only </w:t>
      </w:r>
      <w:r w:rsidR="00F66098" w:rsidRPr="00B07091">
        <w:rPr>
          <w:rFonts w:ascii="Times New Roman" w:hAnsi="Times New Roman" w:cs="Times New Roman"/>
        </w:rPr>
        <w:t xml:space="preserve">within the 20-80 percentiles </w:t>
      </w:r>
      <w:r w:rsidR="00D144BA" w:rsidRPr="00B07091">
        <w:rPr>
          <w:rFonts w:ascii="Times New Roman" w:hAnsi="Times New Roman" w:cs="Times New Roman"/>
        </w:rPr>
        <w:t xml:space="preserve">of </w:t>
      </w:r>
      <w:r w:rsidR="00F66098" w:rsidRPr="00B07091">
        <w:rPr>
          <w:rFonts w:ascii="Times New Roman" w:hAnsi="Times New Roman" w:cs="Times New Roman"/>
        </w:rPr>
        <w:t xml:space="preserve">the </w:t>
      </w:r>
      <w:r w:rsidR="00C42623" w:rsidRPr="00B07091">
        <w:rPr>
          <w:rFonts w:ascii="Times New Roman" w:hAnsi="Times New Roman" w:cs="Times New Roman"/>
        </w:rPr>
        <w:t>available</w:t>
      </w:r>
      <w:r w:rsidR="00F66098" w:rsidRPr="00B07091">
        <w:rPr>
          <w:rFonts w:ascii="Times New Roman" w:hAnsi="Times New Roman" w:cs="Times New Roman"/>
        </w:rPr>
        <w:t xml:space="preserve"> values</w:t>
      </w:r>
      <w:r w:rsidR="00810F73" w:rsidRPr="00B07091">
        <w:rPr>
          <w:rFonts w:ascii="Times New Roman" w:hAnsi="Times New Roman" w:cs="Times New Roman"/>
        </w:rPr>
        <w:t xml:space="preserve"> </w:t>
      </w:r>
      <w:r w:rsidR="00C92C2A" w:rsidRPr="00B07091">
        <w:rPr>
          <w:rFonts w:ascii="Times New Roman" w:hAnsi="Times New Roman" w:cs="Times New Roman"/>
        </w:rPr>
        <w:t xml:space="preserve">of X </w:t>
      </w:r>
      <w:r w:rsidR="00810F73" w:rsidRPr="00B07091">
        <w:rPr>
          <w:rFonts w:ascii="Times New Roman" w:hAnsi="Times New Roman" w:cs="Times New Roman"/>
        </w:rPr>
        <w:t>(21 values used out of 37)</w:t>
      </w:r>
      <w:r w:rsidR="00F66098" w:rsidRPr="00B07091">
        <w:rPr>
          <w:rFonts w:ascii="Times New Roman" w:hAnsi="Times New Roman" w:cs="Times New Roman"/>
        </w:rPr>
        <w:t xml:space="preserve">. </w:t>
      </w:r>
    </w:p>
    <w:p w14:paraId="378A277D" w14:textId="464CA4C1" w:rsidR="00681ADF" w:rsidRPr="00B07091" w:rsidRDefault="00395554" w:rsidP="00EB64F3">
      <w:pPr>
        <w:spacing w:after="0" w:line="276" w:lineRule="auto"/>
        <w:ind w:firstLine="720"/>
        <w:rPr>
          <w:rFonts w:ascii="Times New Roman" w:hAnsi="Times New Roman" w:cs="Times New Roman"/>
        </w:rPr>
      </w:pPr>
      <w:r w:rsidRPr="00B07091">
        <w:rPr>
          <w:rFonts w:ascii="Times New Roman" w:hAnsi="Times New Roman" w:cs="Times New Roman"/>
        </w:rPr>
        <w:t xml:space="preserve">We used a Bayesian Markov Chain Monte Carlo (MCMC) approach to jointly estimate all parameters (for both </w:t>
      </w:r>
      <w:r w:rsidR="002D7E38" w:rsidRPr="00B07091">
        <w:rPr>
          <w:rFonts w:ascii="Times New Roman" w:hAnsi="Times New Roman" w:cs="Times New Roman"/>
        </w:rPr>
        <w:t>capelin</w:t>
      </w:r>
      <w:r w:rsidRPr="00B07091">
        <w:rPr>
          <w:rFonts w:ascii="Times New Roman" w:hAnsi="Times New Roman" w:cs="Times New Roman"/>
        </w:rPr>
        <w:t xml:space="preserve"> and cod) in </w:t>
      </w:r>
      <w:r w:rsidR="00A91FBF" w:rsidRPr="00B07091">
        <w:rPr>
          <w:rFonts w:ascii="Times New Roman" w:hAnsi="Times New Roman" w:cs="Times New Roman"/>
        </w:rPr>
        <w:t>a single</w:t>
      </w:r>
      <w:r w:rsidRPr="00B07091">
        <w:rPr>
          <w:rFonts w:ascii="Times New Roman" w:hAnsi="Times New Roman" w:cs="Times New Roman"/>
        </w:rPr>
        <w:t xml:space="preserve"> model for the period 198</w:t>
      </w:r>
      <w:r w:rsidR="002D7E38" w:rsidRPr="00B07091">
        <w:rPr>
          <w:rFonts w:ascii="Times New Roman" w:hAnsi="Times New Roman" w:cs="Times New Roman"/>
        </w:rPr>
        <w:t>1</w:t>
      </w:r>
      <w:r w:rsidRPr="00B07091">
        <w:rPr>
          <w:rFonts w:ascii="Times New Roman" w:hAnsi="Times New Roman" w:cs="Times New Roman"/>
        </w:rPr>
        <w:t>-201</w:t>
      </w:r>
      <w:r w:rsidR="002D7E38" w:rsidRPr="00B07091">
        <w:rPr>
          <w:rFonts w:ascii="Times New Roman" w:hAnsi="Times New Roman" w:cs="Times New Roman"/>
        </w:rPr>
        <w:t>9</w:t>
      </w:r>
      <w:r w:rsidRPr="00B07091">
        <w:rPr>
          <w:rFonts w:ascii="Times New Roman" w:hAnsi="Times New Roman" w:cs="Times New Roman"/>
        </w:rPr>
        <w:t xml:space="preserve">. </w:t>
      </w:r>
      <w:r w:rsidR="00A91FBF" w:rsidRPr="00B07091">
        <w:rPr>
          <w:rFonts w:ascii="Times New Roman" w:hAnsi="Times New Roman" w:cs="Times New Roman"/>
        </w:rPr>
        <w:t>W</w:t>
      </w:r>
      <w:r w:rsidRPr="00B07091">
        <w:rPr>
          <w:rFonts w:ascii="Times New Roman" w:hAnsi="Times New Roman" w:cs="Times New Roman"/>
        </w:rPr>
        <w:t xml:space="preserve">e used the </w:t>
      </w:r>
      <w:r w:rsidRPr="00B07091">
        <w:rPr>
          <w:rFonts w:ascii="Times New Roman" w:hAnsi="Times New Roman" w:cs="Times New Roman"/>
          <w:i/>
        </w:rPr>
        <w:t>Stan</w:t>
      </w:r>
      <w:r w:rsidRPr="00B07091">
        <w:rPr>
          <w:rFonts w:ascii="Times New Roman" w:hAnsi="Times New Roman" w:cs="Times New Roman"/>
        </w:rPr>
        <w:t xml:space="preserve"> </w:t>
      </w:r>
      <w:r w:rsidR="00514FC8" w:rsidRPr="00B07091">
        <w:rPr>
          <w:rFonts w:ascii="Times New Roman" w:hAnsi="Times New Roman" w:cs="Times New Roman"/>
          <w:i/>
        </w:rPr>
        <w:t>software</w:t>
      </w:r>
      <w:r w:rsidR="00514FC8" w:rsidRPr="00B07091">
        <w:rPr>
          <w:rFonts w:ascii="Times New Roman" w:hAnsi="Times New Roman" w:cs="Times New Roman"/>
        </w:rPr>
        <w:t xml:space="preserve"> </w:t>
      </w:r>
      <w:r w:rsidR="006E760F" w:rsidRPr="00B07091">
        <w:rPr>
          <w:rFonts w:ascii="Times New Roman" w:hAnsi="Times New Roman" w:cs="Times New Roman"/>
        </w:rPr>
        <w:t xml:space="preserve">via </w:t>
      </w:r>
      <w:r w:rsidRPr="00B07091">
        <w:rPr>
          <w:rFonts w:ascii="Times New Roman" w:hAnsi="Times New Roman" w:cs="Times New Roman"/>
        </w:rPr>
        <w:t xml:space="preserve">the R packages </w:t>
      </w:r>
      <w:proofErr w:type="spellStart"/>
      <w:r w:rsidRPr="00B07091">
        <w:rPr>
          <w:rFonts w:ascii="Times New Roman" w:hAnsi="Times New Roman" w:cs="Times New Roman"/>
          <w:i/>
        </w:rPr>
        <w:t>rstan</w:t>
      </w:r>
      <w:proofErr w:type="spellEnd"/>
      <w:r w:rsidR="002D7E38" w:rsidRPr="00B07091">
        <w:rPr>
          <w:rFonts w:ascii="Times New Roman" w:hAnsi="Times New Roman" w:cs="Times New Roman"/>
          <w:i/>
        </w:rPr>
        <w:t xml:space="preserve"> </w:t>
      </w:r>
      <w:r w:rsidR="002D7E38" w:rsidRPr="00B07091">
        <w:rPr>
          <w:rFonts w:ascii="Times New Roman" w:hAnsi="Times New Roman" w:cs="Times New Roman"/>
        </w:rPr>
        <w:t>(v.2.21.3)</w:t>
      </w:r>
      <w:r w:rsidRPr="00B07091">
        <w:rPr>
          <w:rFonts w:ascii="Times New Roman" w:hAnsi="Times New Roman" w:cs="Times New Roman"/>
        </w:rPr>
        <w:t xml:space="preserve"> and </w:t>
      </w:r>
      <w:proofErr w:type="spellStart"/>
      <w:r w:rsidRPr="00B07091">
        <w:rPr>
          <w:rFonts w:ascii="Times New Roman" w:hAnsi="Times New Roman" w:cs="Times New Roman"/>
          <w:i/>
        </w:rPr>
        <w:t>shinystan</w:t>
      </w:r>
      <w:proofErr w:type="spellEnd"/>
      <w:r w:rsidRPr="00B07091">
        <w:rPr>
          <w:rFonts w:ascii="Times New Roman" w:hAnsi="Times New Roman" w:cs="Times New Roman"/>
        </w:rPr>
        <w:t xml:space="preserve"> </w:t>
      </w:r>
      <w:r w:rsidR="00316D83">
        <w:rPr>
          <w:rFonts w:ascii="Times New Roman" w:hAnsi="Times New Roman" w:cs="Times New Roman"/>
          <w:noProof/>
        </w:rPr>
        <w:t>(30)</w:t>
      </w:r>
      <w:r w:rsidRPr="00B07091">
        <w:rPr>
          <w:rFonts w:ascii="Times New Roman" w:hAnsi="Times New Roman" w:cs="Times New Roman"/>
        </w:rPr>
        <w:t>. A likelihood function was created based on the model and data, and in combination with the prior distributions of the parameters, the posterior distributions were estimated. Weakly informative priors were used in order to let the data drive the inferences</w:t>
      </w:r>
      <w:r w:rsidR="00C1444C" w:rsidRPr="00B07091">
        <w:rPr>
          <w:rFonts w:ascii="Times New Roman" w:hAnsi="Times New Roman" w:cs="Times New Roman"/>
        </w:rPr>
        <w:t xml:space="preserve"> except for the </w:t>
      </w:r>
      <w:r w:rsidR="00A62587" w:rsidRPr="00B07091">
        <w:rPr>
          <w:rFonts w:ascii="Times New Roman" w:hAnsi="Times New Roman" w:cs="Times New Roman"/>
        </w:rPr>
        <w:t>process and observation error variance</w:t>
      </w:r>
      <w:r w:rsidR="0039301E" w:rsidRPr="00B07091">
        <w:rPr>
          <w:rFonts w:ascii="Times New Roman" w:hAnsi="Times New Roman" w:cs="Times New Roman"/>
        </w:rPr>
        <w:t>s</w:t>
      </w:r>
      <w:r w:rsidR="00A62587" w:rsidRPr="00B07091">
        <w:rPr>
          <w:rFonts w:ascii="Times New Roman" w:hAnsi="Times New Roman" w:cs="Times New Roman"/>
        </w:rPr>
        <w:t>. The lat</w:t>
      </w:r>
      <w:r w:rsidR="00F64E60" w:rsidRPr="00B07091">
        <w:rPr>
          <w:rFonts w:ascii="Times New Roman" w:hAnsi="Times New Roman" w:cs="Times New Roman"/>
        </w:rPr>
        <w:t>t</w:t>
      </w:r>
      <w:r w:rsidR="00A62587" w:rsidRPr="00B07091">
        <w:rPr>
          <w:rFonts w:ascii="Times New Roman" w:hAnsi="Times New Roman" w:cs="Times New Roman"/>
        </w:rPr>
        <w:t xml:space="preserve">er were not </w:t>
      </w:r>
      <w:r w:rsidR="005E067D" w:rsidRPr="00B07091">
        <w:rPr>
          <w:rFonts w:ascii="Times New Roman" w:hAnsi="Times New Roman" w:cs="Times New Roman"/>
        </w:rPr>
        <w:t xml:space="preserve">identifiable </w:t>
      </w:r>
      <w:r w:rsidR="0039301E" w:rsidRPr="00B07091">
        <w:rPr>
          <w:rFonts w:ascii="Times New Roman" w:hAnsi="Times New Roman" w:cs="Times New Roman"/>
        </w:rPr>
        <w:t xml:space="preserve">alone </w:t>
      </w:r>
      <w:r w:rsidR="005E067D" w:rsidRPr="00B07091">
        <w:rPr>
          <w:rFonts w:ascii="Times New Roman" w:hAnsi="Times New Roman" w:cs="Times New Roman"/>
        </w:rPr>
        <w:t xml:space="preserve">thus we included an informative prior on the </w:t>
      </w:r>
      <w:r w:rsidR="00C1444C" w:rsidRPr="00B07091">
        <w:rPr>
          <w:rFonts w:ascii="Times New Roman" w:hAnsi="Times New Roman" w:cs="Times New Roman"/>
        </w:rPr>
        <w:t>ratio of the process to observation error variance</w:t>
      </w:r>
      <w:r w:rsidR="005E067D" w:rsidRPr="00B07091">
        <w:rPr>
          <w:rFonts w:ascii="Times New Roman" w:hAnsi="Times New Roman" w:cs="Times New Roman"/>
        </w:rPr>
        <w:t xml:space="preserve"> </w:t>
      </w:r>
      <w:r w:rsidR="00ED47C0" w:rsidRPr="00B07091">
        <w:rPr>
          <w:rFonts w:ascii="Times New Roman" w:hAnsi="Times New Roman" w:cs="Times New Roman"/>
        </w:rPr>
        <w:t>centred</w:t>
      </w:r>
      <w:r w:rsidR="005E067D" w:rsidRPr="00B07091">
        <w:rPr>
          <w:rFonts w:ascii="Times New Roman" w:hAnsi="Times New Roman" w:cs="Times New Roman"/>
        </w:rPr>
        <w:t xml:space="preserve"> around 1 (</w:t>
      </w:r>
      <w:proofErr w:type="gramStart"/>
      <w:r w:rsidR="005E067D" w:rsidRPr="00B07091">
        <w:rPr>
          <w:rFonts w:ascii="Times New Roman" w:hAnsi="Times New Roman" w:cs="Times New Roman"/>
          <w:i/>
        </w:rPr>
        <w:t>N</w:t>
      </w:r>
      <w:r w:rsidR="00042B69" w:rsidRPr="00B07091">
        <w:rPr>
          <w:rFonts w:ascii="Times New Roman" w:hAnsi="Times New Roman" w:cs="Times New Roman"/>
          <w:i/>
        </w:rPr>
        <w:t>ormal</w:t>
      </w:r>
      <w:r w:rsidR="005E067D" w:rsidRPr="00B07091">
        <w:rPr>
          <w:rFonts w:ascii="Times New Roman" w:hAnsi="Times New Roman" w:cs="Times New Roman"/>
        </w:rPr>
        <w:t>(</w:t>
      </w:r>
      <w:proofErr w:type="gramEnd"/>
      <w:r w:rsidR="005E067D" w:rsidRPr="00B07091">
        <w:rPr>
          <w:rFonts w:ascii="Times New Roman" w:hAnsi="Times New Roman" w:cs="Times New Roman"/>
        </w:rPr>
        <w:t>1,</w:t>
      </w:r>
      <w:r w:rsidR="00042B69" w:rsidRPr="00B07091">
        <w:rPr>
          <w:rFonts w:ascii="Times New Roman" w:hAnsi="Times New Roman" w:cs="Times New Roman"/>
        </w:rPr>
        <w:t xml:space="preserve"> </w:t>
      </w:r>
      <w:r w:rsidR="005E067D" w:rsidRPr="00B07091">
        <w:rPr>
          <w:rFonts w:ascii="Times New Roman" w:hAnsi="Times New Roman" w:cs="Times New Roman"/>
        </w:rPr>
        <w:t>0.</w:t>
      </w:r>
      <w:r w:rsidR="008E16A5" w:rsidRPr="00B07091">
        <w:rPr>
          <w:rFonts w:ascii="Times New Roman" w:hAnsi="Times New Roman" w:cs="Times New Roman"/>
        </w:rPr>
        <w:t>5</w:t>
      </w:r>
      <w:r w:rsidR="005E067D" w:rsidRPr="00B07091">
        <w:rPr>
          <w:rFonts w:ascii="Times New Roman" w:hAnsi="Times New Roman" w:cs="Times New Roman"/>
        </w:rPr>
        <w:t>))</w:t>
      </w:r>
      <w:r w:rsidR="005A28D0" w:rsidRPr="00B07091">
        <w:rPr>
          <w:rFonts w:ascii="Times New Roman" w:hAnsi="Times New Roman" w:cs="Times New Roman"/>
        </w:rPr>
        <w:t xml:space="preserve"> </w:t>
      </w:r>
      <w:r w:rsidR="00316D83">
        <w:rPr>
          <w:rFonts w:ascii="Times New Roman" w:hAnsi="Times New Roman" w:cs="Times New Roman"/>
          <w:noProof/>
        </w:rPr>
        <w:t>(31)</w:t>
      </w:r>
      <w:r w:rsidR="0039301E" w:rsidRPr="00B07091">
        <w:rPr>
          <w:rFonts w:ascii="Times New Roman" w:hAnsi="Times New Roman" w:cs="Times New Roman"/>
        </w:rPr>
        <w:t>.</w:t>
      </w:r>
      <w:r w:rsidR="00CE155B" w:rsidRPr="00B07091">
        <w:rPr>
          <w:rFonts w:ascii="Times New Roman" w:hAnsi="Times New Roman" w:cs="Times New Roman"/>
        </w:rPr>
        <w:t xml:space="preserve"> </w:t>
      </w:r>
      <w:r w:rsidR="00681ADF" w:rsidRPr="00B07091">
        <w:rPr>
          <w:rFonts w:ascii="Times New Roman" w:hAnsi="Times New Roman" w:cs="Times New Roman"/>
        </w:rPr>
        <w:t xml:space="preserve">A sensitivity test with a ratio </w:t>
      </w:r>
      <w:r w:rsidR="00ED47C0" w:rsidRPr="00B07091">
        <w:rPr>
          <w:rFonts w:ascii="Times New Roman" w:hAnsi="Times New Roman" w:cs="Times New Roman"/>
        </w:rPr>
        <w:t>centred</w:t>
      </w:r>
      <w:r w:rsidR="00681ADF" w:rsidRPr="00B07091">
        <w:rPr>
          <w:rFonts w:ascii="Times New Roman" w:hAnsi="Times New Roman" w:cs="Times New Roman"/>
        </w:rPr>
        <w:t xml:space="preserve"> around 0.5 and 2 (respectively </w:t>
      </w:r>
      <w:proofErr w:type="gramStart"/>
      <w:r w:rsidR="00681ADF" w:rsidRPr="00B07091">
        <w:rPr>
          <w:rFonts w:ascii="Times New Roman" w:hAnsi="Times New Roman" w:cs="Times New Roman"/>
          <w:i/>
        </w:rPr>
        <w:t>Normal</w:t>
      </w:r>
      <w:r w:rsidR="00681ADF" w:rsidRPr="00B07091">
        <w:rPr>
          <w:rFonts w:ascii="Times New Roman" w:hAnsi="Times New Roman" w:cs="Times New Roman"/>
        </w:rPr>
        <w:t>(</w:t>
      </w:r>
      <w:proofErr w:type="gramEnd"/>
      <w:r w:rsidR="00681ADF" w:rsidRPr="00B07091">
        <w:rPr>
          <w:rFonts w:ascii="Times New Roman" w:hAnsi="Times New Roman" w:cs="Times New Roman"/>
        </w:rPr>
        <w:t xml:space="preserve">0.5, 0.5) and </w:t>
      </w:r>
      <w:r w:rsidR="00681ADF" w:rsidRPr="00B07091">
        <w:rPr>
          <w:rFonts w:ascii="Times New Roman" w:hAnsi="Times New Roman" w:cs="Times New Roman"/>
          <w:i/>
        </w:rPr>
        <w:t>Normal</w:t>
      </w:r>
      <w:r w:rsidR="00681ADF" w:rsidRPr="00B07091">
        <w:rPr>
          <w:rFonts w:ascii="Times New Roman" w:hAnsi="Times New Roman" w:cs="Times New Roman"/>
        </w:rPr>
        <w:t xml:space="preserve">(2, 0.5)) showed that </w:t>
      </w:r>
      <w:r w:rsidR="008132C2" w:rsidRPr="00B07091">
        <w:rPr>
          <w:rFonts w:ascii="Times New Roman" w:hAnsi="Times New Roman" w:cs="Times New Roman"/>
        </w:rPr>
        <w:t xml:space="preserve">the choice of the exact value </w:t>
      </w:r>
      <w:r w:rsidR="00681ADF" w:rsidRPr="00B07091">
        <w:rPr>
          <w:rFonts w:ascii="Times New Roman" w:hAnsi="Times New Roman" w:cs="Times New Roman"/>
        </w:rPr>
        <w:t>did not affect our results</w:t>
      </w:r>
      <w:r w:rsidR="005032EA" w:rsidRPr="00B07091">
        <w:rPr>
          <w:rFonts w:ascii="Times New Roman" w:hAnsi="Times New Roman" w:cs="Times New Roman"/>
        </w:rPr>
        <w:t xml:space="preserve"> (figure S1)</w:t>
      </w:r>
      <w:r w:rsidR="00681ADF" w:rsidRPr="00B07091">
        <w:rPr>
          <w:rFonts w:ascii="Times New Roman" w:hAnsi="Times New Roman" w:cs="Times New Roman"/>
        </w:rPr>
        <w:t>.</w:t>
      </w:r>
      <w:r w:rsidR="00C42623" w:rsidRPr="00B07091">
        <w:rPr>
          <w:rFonts w:ascii="Times New Roman" w:hAnsi="Times New Roman" w:cs="Times New Roman"/>
        </w:rPr>
        <w:t xml:space="preserve"> </w:t>
      </w:r>
      <w:r w:rsidR="00040B82" w:rsidRPr="00B07091">
        <w:rPr>
          <w:rFonts w:ascii="Times New Roman" w:hAnsi="Times New Roman" w:cs="Times New Roman"/>
        </w:rPr>
        <w:t>Note that there were no indication of correlation between the estimated process errors of the two species and hence they were modelled as such (fig</w:t>
      </w:r>
      <w:r w:rsidR="00AF3E65" w:rsidRPr="00B07091">
        <w:rPr>
          <w:rFonts w:ascii="Times New Roman" w:hAnsi="Times New Roman" w:cs="Times New Roman"/>
        </w:rPr>
        <w:t>ure</w:t>
      </w:r>
      <w:r w:rsidR="00040B82" w:rsidRPr="00B07091">
        <w:rPr>
          <w:rFonts w:ascii="Times New Roman" w:hAnsi="Times New Roman" w:cs="Times New Roman"/>
        </w:rPr>
        <w:t xml:space="preserve"> </w:t>
      </w:r>
      <w:r w:rsidR="00C612E3" w:rsidRPr="00B07091">
        <w:rPr>
          <w:rFonts w:ascii="Times New Roman" w:hAnsi="Times New Roman" w:cs="Times New Roman"/>
        </w:rPr>
        <w:t>S</w:t>
      </w:r>
      <w:r w:rsidR="00040B82" w:rsidRPr="00B07091">
        <w:rPr>
          <w:rFonts w:ascii="Times New Roman" w:hAnsi="Times New Roman" w:cs="Times New Roman"/>
        </w:rPr>
        <w:t>2)</w:t>
      </w:r>
      <w:r w:rsidR="00C42623" w:rsidRPr="00B07091">
        <w:rPr>
          <w:rFonts w:ascii="Times New Roman" w:hAnsi="Times New Roman" w:cs="Times New Roman"/>
        </w:rPr>
        <w:t>.</w:t>
      </w:r>
    </w:p>
    <w:p w14:paraId="14BC9149" w14:textId="72D2C1E3" w:rsidR="00395554" w:rsidRPr="00B07091" w:rsidRDefault="00395554" w:rsidP="00EB64F3">
      <w:pPr>
        <w:spacing w:after="0" w:line="276" w:lineRule="auto"/>
        <w:ind w:firstLine="720"/>
        <w:rPr>
          <w:rFonts w:ascii="Times New Roman" w:hAnsi="Times New Roman" w:cs="Times New Roman"/>
        </w:rPr>
      </w:pPr>
      <w:r w:rsidRPr="00B07091">
        <w:rPr>
          <w:rFonts w:ascii="Times New Roman" w:hAnsi="Times New Roman" w:cs="Times New Roman"/>
        </w:rPr>
        <w:t xml:space="preserve">We used </w:t>
      </w:r>
      <w:r w:rsidR="002D7E38" w:rsidRPr="00B07091">
        <w:rPr>
          <w:rFonts w:ascii="Times New Roman" w:hAnsi="Times New Roman" w:cs="Times New Roman"/>
        </w:rPr>
        <w:t>four</w:t>
      </w:r>
      <w:r w:rsidRPr="00B07091">
        <w:rPr>
          <w:rFonts w:ascii="Times New Roman" w:hAnsi="Times New Roman" w:cs="Times New Roman"/>
        </w:rPr>
        <w:t xml:space="preserve"> independent chains with </w:t>
      </w:r>
      <w:r w:rsidR="002D7E38" w:rsidRPr="00B07091">
        <w:rPr>
          <w:rFonts w:ascii="Times New Roman" w:hAnsi="Times New Roman" w:cs="Times New Roman"/>
        </w:rPr>
        <w:t>5</w:t>
      </w:r>
      <w:r w:rsidRPr="00B07091">
        <w:rPr>
          <w:rFonts w:ascii="Times New Roman" w:hAnsi="Times New Roman" w:cs="Times New Roman"/>
        </w:rPr>
        <w:t xml:space="preserve">0,000 iterations each, where the first </w:t>
      </w:r>
      <w:r w:rsidR="002D7E38" w:rsidRPr="00B07091">
        <w:rPr>
          <w:rFonts w:ascii="Times New Roman" w:hAnsi="Times New Roman" w:cs="Times New Roman"/>
        </w:rPr>
        <w:t>3</w:t>
      </w:r>
      <w:r w:rsidRPr="00B07091">
        <w:rPr>
          <w:rFonts w:ascii="Times New Roman" w:hAnsi="Times New Roman" w:cs="Times New Roman"/>
        </w:rPr>
        <w:t xml:space="preserve">0,000 iterations were </w:t>
      </w:r>
      <w:r w:rsidR="002C3B54" w:rsidRPr="00B07091">
        <w:rPr>
          <w:rFonts w:ascii="Times New Roman" w:hAnsi="Times New Roman" w:cs="Times New Roman"/>
        </w:rPr>
        <w:t xml:space="preserve">discarded </w:t>
      </w:r>
      <w:r w:rsidRPr="00B07091">
        <w:rPr>
          <w:rFonts w:ascii="Times New Roman" w:hAnsi="Times New Roman" w:cs="Times New Roman"/>
        </w:rPr>
        <w:t xml:space="preserve">as </w:t>
      </w:r>
      <w:r w:rsidR="002C3B54" w:rsidRPr="00B07091">
        <w:rPr>
          <w:rFonts w:ascii="Times New Roman" w:hAnsi="Times New Roman" w:cs="Times New Roman"/>
        </w:rPr>
        <w:t>”</w:t>
      </w:r>
      <w:r w:rsidRPr="00B07091">
        <w:rPr>
          <w:rFonts w:ascii="Times New Roman" w:hAnsi="Times New Roman" w:cs="Times New Roman"/>
        </w:rPr>
        <w:t>burn-in</w:t>
      </w:r>
      <w:r w:rsidR="002C3B54" w:rsidRPr="00B07091">
        <w:rPr>
          <w:rFonts w:ascii="Times New Roman" w:hAnsi="Times New Roman" w:cs="Times New Roman"/>
        </w:rPr>
        <w:t>”</w:t>
      </w:r>
      <w:r w:rsidRPr="00B07091">
        <w:rPr>
          <w:rFonts w:ascii="Times New Roman" w:hAnsi="Times New Roman" w:cs="Times New Roman"/>
        </w:rPr>
        <w:t xml:space="preserve"> iterations to ensure that the chains had converged. In addition, we thinned the chains with a factor 10 to reduce autocorrelation in the posterior samples and to produce a reasonable amount of output. We used the </w:t>
      </w:r>
      <w:proofErr w:type="spellStart"/>
      <w:r w:rsidRPr="00B07091">
        <w:rPr>
          <w:rFonts w:ascii="Times New Roman" w:hAnsi="Times New Roman" w:cs="Times New Roman"/>
        </w:rPr>
        <w:t>Gelman</w:t>
      </w:r>
      <w:proofErr w:type="spellEnd"/>
      <w:r w:rsidRPr="00B07091">
        <w:rPr>
          <w:rFonts w:ascii="Times New Roman" w:hAnsi="Times New Roman" w:cs="Times New Roman"/>
        </w:rPr>
        <w:t xml:space="preserve"> and Rubin Ȓ convergence diagnostics </w:t>
      </w:r>
      <w:r w:rsidR="00316D83">
        <w:rPr>
          <w:rFonts w:ascii="Times New Roman" w:hAnsi="Times New Roman" w:cs="Times New Roman"/>
          <w:noProof/>
        </w:rPr>
        <w:t>(32)</w:t>
      </w:r>
      <w:r w:rsidR="009116E1" w:rsidRPr="00B07091" w:rsidDel="009116E1">
        <w:rPr>
          <w:rFonts w:ascii="Times New Roman" w:hAnsi="Times New Roman" w:cs="Times New Roman"/>
        </w:rPr>
        <w:t xml:space="preserve"> </w:t>
      </w:r>
      <w:r w:rsidR="00DF7389" w:rsidRPr="00B07091">
        <w:rPr>
          <w:rFonts w:ascii="Times New Roman" w:hAnsi="Times New Roman" w:cs="Times New Roman"/>
        </w:rPr>
        <w:t xml:space="preserve">and </w:t>
      </w:r>
      <w:r w:rsidRPr="00B07091">
        <w:rPr>
          <w:rFonts w:ascii="Times New Roman" w:hAnsi="Times New Roman" w:cs="Times New Roman"/>
        </w:rPr>
        <w:t>visual inspection of the chains</w:t>
      </w:r>
      <w:r w:rsidR="00DF7389" w:rsidRPr="00B07091">
        <w:rPr>
          <w:rFonts w:ascii="Times New Roman" w:hAnsi="Times New Roman" w:cs="Times New Roman"/>
        </w:rPr>
        <w:t xml:space="preserve"> to ensure convergence</w:t>
      </w:r>
      <w:r w:rsidRPr="00B07091">
        <w:rPr>
          <w:rFonts w:ascii="Times New Roman" w:hAnsi="Times New Roman" w:cs="Times New Roman"/>
        </w:rPr>
        <w:t>, and posterior predictive</w:t>
      </w:r>
      <w:r w:rsidR="00F64E60" w:rsidRPr="00B07091">
        <w:rPr>
          <w:rFonts w:ascii="Times New Roman" w:hAnsi="Times New Roman" w:cs="Times New Roman"/>
        </w:rPr>
        <w:t xml:space="preserve"> checks</w:t>
      </w:r>
      <w:r w:rsidR="00DF7389" w:rsidRPr="00B07091">
        <w:rPr>
          <w:rFonts w:ascii="Times New Roman" w:hAnsi="Times New Roman" w:cs="Times New Roman"/>
        </w:rPr>
        <w:t xml:space="preserve"> to </w:t>
      </w:r>
      <w:r w:rsidR="00F64E60" w:rsidRPr="00B07091">
        <w:rPr>
          <w:rFonts w:ascii="Times New Roman" w:hAnsi="Times New Roman" w:cs="Times New Roman"/>
        </w:rPr>
        <w:t>evaluate</w:t>
      </w:r>
      <w:r w:rsidR="00DF7389" w:rsidRPr="00B07091">
        <w:rPr>
          <w:rFonts w:ascii="Times New Roman" w:hAnsi="Times New Roman" w:cs="Times New Roman"/>
        </w:rPr>
        <w:t xml:space="preserve"> the</w:t>
      </w:r>
      <w:r w:rsidRPr="00B07091">
        <w:rPr>
          <w:rFonts w:ascii="Times New Roman" w:hAnsi="Times New Roman" w:cs="Times New Roman"/>
        </w:rPr>
        <w:t xml:space="preserve"> model fit.</w:t>
      </w:r>
      <w:r w:rsidR="002D7E38" w:rsidRPr="00B07091">
        <w:rPr>
          <w:rFonts w:ascii="Times New Roman" w:hAnsi="Times New Roman" w:cs="Times New Roman"/>
        </w:rPr>
        <w:t xml:space="preserve"> A</w:t>
      </w:r>
      <w:r w:rsidRPr="00B07091" w:rsidDel="003522B6">
        <w:rPr>
          <w:rFonts w:ascii="Times New Roman" w:hAnsi="Times New Roman" w:cs="Times New Roman"/>
        </w:rPr>
        <w:t>ll analyses were conducted using the software R v.</w:t>
      </w:r>
      <w:r w:rsidRPr="00B07091">
        <w:rPr>
          <w:rFonts w:ascii="Times New Roman" w:hAnsi="Times New Roman" w:cs="Times New Roman"/>
        </w:rPr>
        <w:t>4</w:t>
      </w:r>
      <w:r w:rsidRPr="00B07091" w:rsidDel="003522B6">
        <w:rPr>
          <w:rFonts w:ascii="Times New Roman" w:hAnsi="Times New Roman" w:cs="Times New Roman"/>
        </w:rPr>
        <w:t>.</w:t>
      </w:r>
      <w:r w:rsidRPr="00B07091">
        <w:rPr>
          <w:rFonts w:ascii="Times New Roman" w:hAnsi="Times New Roman" w:cs="Times New Roman"/>
        </w:rPr>
        <w:t>1</w:t>
      </w:r>
      <w:r w:rsidRPr="00B07091" w:rsidDel="003522B6">
        <w:rPr>
          <w:rFonts w:ascii="Times New Roman" w:hAnsi="Times New Roman" w:cs="Times New Roman"/>
        </w:rPr>
        <w:t>.</w:t>
      </w:r>
      <w:r w:rsidRPr="00B07091">
        <w:rPr>
          <w:rFonts w:ascii="Times New Roman" w:hAnsi="Times New Roman" w:cs="Times New Roman"/>
        </w:rPr>
        <w:t>3</w:t>
      </w:r>
      <w:r w:rsidR="002D7E38" w:rsidRPr="00B07091">
        <w:rPr>
          <w:rFonts w:ascii="Times New Roman" w:hAnsi="Times New Roman" w:cs="Times New Roman"/>
        </w:rPr>
        <w:t xml:space="preserve"> </w:t>
      </w:r>
      <w:r w:rsidR="00316D83">
        <w:rPr>
          <w:rFonts w:ascii="Times New Roman" w:hAnsi="Times New Roman" w:cs="Times New Roman"/>
          <w:noProof/>
        </w:rPr>
        <w:t>(33)</w:t>
      </w:r>
      <w:r w:rsidRPr="00B07091" w:rsidDel="003522B6">
        <w:rPr>
          <w:rFonts w:ascii="Times New Roman" w:hAnsi="Times New Roman" w:cs="Times New Roman"/>
        </w:rPr>
        <w:t xml:space="preserve">. </w:t>
      </w:r>
    </w:p>
    <w:p w14:paraId="211E4BFA" w14:textId="77777777" w:rsidR="00CB282A" w:rsidRPr="00B07091" w:rsidRDefault="00CB282A" w:rsidP="00EB64F3">
      <w:pPr>
        <w:spacing w:after="0" w:line="276" w:lineRule="auto"/>
        <w:ind w:firstLine="720"/>
      </w:pPr>
    </w:p>
    <w:p w14:paraId="225580FA" w14:textId="77777777" w:rsidR="00CB282A" w:rsidRPr="00B07091" w:rsidRDefault="00CB282A" w:rsidP="00EB64F3">
      <w:pPr>
        <w:spacing w:after="0" w:line="276" w:lineRule="auto"/>
        <w:ind w:firstLine="720"/>
      </w:pPr>
    </w:p>
    <w:p w14:paraId="79C08806" w14:textId="77777777" w:rsidR="00D86D44" w:rsidRPr="00B07091" w:rsidRDefault="00D86D44" w:rsidP="00EB64F3">
      <w:pPr>
        <w:spacing w:after="200" w:line="276" w:lineRule="auto"/>
        <w:rPr>
          <w:rFonts w:ascii="AdvOTd67905e7" w:hAnsi="AdvOTd67905e7" w:cs="AdvOTd67905e7"/>
          <w:color w:val="58BA47"/>
          <w:sz w:val="32"/>
          <w:szCs w:val="32"/>
        </w:rPr>
      </w:pPr>
    </w:p>
    <w:p w14:paraId="4541B16A" w14:textId="5DD97092" w:rsidR="00F6703E" w:rsidRPr="00B07091" w:rsidRDefault="00F1237D" w:rsidP="00EB64F3">
      <w:pPr>
        <w:spacing w:after="200" w:line="276" w:lineRule="auto"/>
        <w:rPr>
          <w:rFonts w:ascii="AdvOTd67905e7" w:hAnsi="AdvOTd67905e7" w:cs="AdvOTd67905e7"/>
          <w:color w:val="58BA47"/>
          <w:sz w:val="32"/>
          <w:szCs w:val="32"/>
        </w:rPr>
      </w:pPr>
      <w:r w:rsidRPr="00B07091">
        <w:rPr>
          <w:rFonts w:ascii="AdvOTd67905e7" w:hAnsi="AdvOTd67905e7" w:cs="AdvOTd67905e7"/>
          <w:color w:val="58BA47"/>
          <w:sz w:val="32"/>
          <w:szCs w:val="32"/>
        </w:rPr>
        <w:lastRenderedPageBreak/>
        <w:t xml:space="preserve">3. </w:t>
      </w:r>
      <w:r w:rsidR="00F6703E" w:rsidRPr="00B07091">
        <w:rPr>
          <w:rFonts w:ascii="AdvOTd67905e7" w:hAnsi="AdvOTd67905e7" w:cs="AdvOTd67905e7"/>
          <w:color w:val="58BA47"/>
          <w:sz w:val="32"/>
          <w:szCs w:val="32"/>
        </w:rPr>
        <w:t>Results</w:t>
      </w:r>
    </w:p>
    <w:p w14:paraId="04400B00" w14:textId="338DDD7D" w:rsidR="00F6703E" w:rsidRPr="00B07091" w:rsidRDefault="008C72BD" w:rsidP="00D2798C">
      <w:pPr>
        <w:spacing w:after="0" w:line="276" w:lineRule="auto"/>
        <w:rPr>
          <w:rFonts w:ascii="Times New Roman" w:hAnsi="Times New Roman" w:cs="Times New Roman"/>
        </w:rPr>
      </w:pPr>
      <w:r w:rsidRPr="00B07091">
        <w:rPr>
          <w:rFonts w:ascii="Times New Roman" w:hAnsi="Times New Roman" w:cs="Times New Roman"/>
        </w:rPr>
        <w:t>T</w:t>
      </w:r>
      <w:r w:rsidR="00F6703E" w:rsidRPr="00B07091">
        <w:rPr>
          <w:rFonts w:ascii="Times New Roman" w:hAnsi="Times New Roman" w:cs="Times New Roman"/>
        </w:rPr>
        <w:t xml:space="preserve">he </w:t>
      </w:r>
      <w:proofErr w:type="spellStart"/>
      <w:r w:rsidR="00F6703E" w:rsidRPr="00B07091">
        <w:rPr>
          <w:rFonts w:ascii="Times New Roman" w:hAnsi="Times New Roman" w:cs="Times New Roman"/>
        </w:rPr>
        <w:t>Bürmann</w:t>
      </w:r>
      <w:proofErr w:type="spellEnd"/>
      <w:r w:rsidR="00F6703E" w:rsidRPr="00B07091">
        <w:rPr>
          <w:rFonts w:ascii="Times New Roman" w:hAnsi="Times New Roman" w:cs="Times New Roman"/>
        </w:rPr>
        <w:t xml:space="preserve">-test </w:t>
      </w:r>
      <w:r w:rsidR="00196D36" w:rsidRPr="00B07091">
        <w:rPr>
          <w:rFonts w:ascii="Times New Roman" w:hAnsi="Times New Roman" w:cs="Times New Roman"/>
        </w:rPr>
        <w:t xml:space="preserve">indicated </w:t>
      </w:r>
      <w:r w:rsidR="00F6703E" w:rsidRPr="00B07091">
        <w:rPr>
          <w:rFonts w:ascii="Times New Roman" w:hAnsi="Times New Roman" w:cs="Times New Roman"/>
        </w:rPr>
        <w:t xml:space="preserve">an interaction between </w:t>
      </w:r>
      <w:r w:rsidRPr="00B07091">
        <w:rPr>
          <w:rFonts w:ascii="Times New Roman" w:hAnsi="Times New Roman" w:cs="Times New Roman"/>
        </w:rPr>
        <w:t>capelin and</w:t>
      </w:r>
      <w:r w:rsidR="00F6703E" w:rsidRPr="00B07091">
        <w:rPr>
          <w:rFonts w:ascii="Times New Roman" w:hAnsi="Times New Roman" w:cs="Times New Roman"/>
        </w:rPr>
        <w:t xml:space="preserve"> </w:t>
      </w:r>
      <w:r w:rsidRPr="00B07091">
        <w:rPr>
          <w:rFonts w:ascii="Times New Roman" w:hAnsi="Times New Roman" w:cs="Times New Roman"/>
        </w:rPr>
        <w:t>cod</w:t>
      </w:r>
      <w:r w:rsidR="00F6703E" w:rsidRPr="00B07091">
        <w:rPr>
          <w:rFonts w:ascii="Times New Roman" w:hAnsi="Times New Roman" w:cs="Times New Roman"/>
        </w:rPr>
        <w:t xml:space="preserve"> </w:t>
      </w:r>
      <w:r w:rsidRPr="00B07091">
        <w:rPr>
          <w:rFonts w:ascii="Times New Roman" w:hAnsi="Times New Roman" w:cs="Times New Roman"/>
        </w:rPr>
        <w:t xml:space="preserve">abundance for both capelin and </w:t>
      </w:r>
      <w:proofErr w:type="gramStart"/>
      <w:r w:rsidRPr="00B07091">
        <w:rPr>
          <w:rFonts w:ascii="Times New Roman" w:hAnsi="Times New Roman" w:cs="Times New Roman"/>
        </w:rPr>
        <w:t>cod</w:t>
      </w:r>
      <w:proofErr w:type="gramEnd"/>
      <w:r w:rsidRPr="00B07091">
        <w:rPr>
          <w:rFonts w:ascii="Times New Roman" w:hAnsi="Times New Roman" w:cs="Times New Roman"/>
        </w:rPr>
        <w:t xml:space="preserve"> models </w:t>
      </w:r>
      <w:r w:rsidR="00F6703E" w:rsidRPr="00B07091">
        <w:rPr>
          <w:rFonts w:ascii="Times New Roman" w:hAnsi="Times New Roman" w:cs="Times New Roman"/>
        </w:rPr>
        <w:t xml:space="preserve">(p &lt; 0.05). We </w:t>
      </w:r>
      <w:r w:rsidR="00327810" w:rsidRPr="00B07091">
        <w:rPr>
          <w:rFonts w:ascii="Times New Roman" w:hAnsi="Times New Roman" w:cs="Times New Roman"/>
        </w:rPr>
        <w:t>first</w:t>
      </w:r>
      <w:r w:rsidR="00F6703E" w:rsidRPr="00B07091">
        <w:rPr>
          <w:rFonts w:ascii="Times New Roman" w:hAnsi="Times New Roman" w:cs="Times New Roman"/>
        </w:rPr>
        <w:t xml:space="preserve"> </w:t>
      </w:r>
      <w:r w:rsidR="002C3B54" w:rsidRPr="00B07091">
        <w:rPr>
          <w:rFonts w:ascii="Times New Roman" w:hAnsi="Times New Roman" w:cs="Times New Roman"/>
        </w:rPr>
        <w:t xml:space="preserve">used non-additive models to describe the dynamics of both species </w:t>
      </w:r>
      <w:r w:rsidR="00D36966" w:rsidRPr="00B07091">
        <w:rPr>
          <w:rFonts w:ascii="Times New Roman" w:hAnsi="Times New Roman" w:cs="Times New Roman"/>
        </w:rPr>
        <w:t>(eq</w:t>
      </w:r>
      <w:r w:rsidR="007E10A1" w:rsidRPr="00B07091">
        <w:rPr>
          <w:rFonts w:ascii="Times New Roman" w:hAnsi="Times New Roman" w:cs="Times New Roman"/>
        </w:rPr>
        <w:t>n</w:t>
      </w:r>
      <w:r w:rsidR="00DB0CF1" w:rsidRPr="00B07091">
        <w:rPr>
          <w:rFonts w:ascii="Times New Roman" w:hAnsi="Times New Roman" w:cs="Times New Roman"/>
        </w:rPr>
        <w:t>.</w:t>
      </w:r>
      <w:r w:rsidR="00D36966" w:rsidRPr="00B07091">
        <w:rPr>
          <w:rFonts w:ascii="Times New Roman" w:hAnsi="Times New Roman" w:cs="Times New Roman"/>
        </w:rPr>
        <w:t xml:space="preserve"> </w:t>
      </w:r>
      <w:r w:rsidR="00ED6B5D" w:rsidRPr="00B07091">
        <w:rPr>
          <w:rFonts w:ascii="Times New Roman" w:hAnsi="Times New Roman" w:cs="Times New Roman"/>
        </w:rPr>
        <w:t>5</w:t>
      </w:r>
      <w:r w:rsidR="00D36966" w:rsidRPr="00B07091">
        <w:rPr>
          <w:rFonts w:ascii="Times New Roman" w:hAnsi="Times New Roman" w:cs="Times New Roman"/>
        </w:rPr>
        <w:t>)</w:t>
      </w:r>
      <w:r w:rsidR="005C3CC3" w:rsidRPr="00B07091">
        <w:rPr>
          <w:rFonts w:ascii="Times New Roman" w:hAnsi="Times New Roman" w:cs="Times New Roman"/>
        </w:rPr>
        <w:t xml:space="preserve"> but</w:t>
      </w:r>
      <w:r w:rsidR="00D36966" w:rsidRPr="00B07091">
        <w:rPr>
          <w:rFonts w:ascii="Times New Roman" w:hAnsi="Times New Roman" w:cs="Times New Roman"/>
        </w:rPr>
        <w:t xml:space="preserve"> </w:t>
      </w:r>
      <w:r w:rsidR="005C3CC3" w:rsidRPr="00B07091">
        <w:rPr>
          <w:rFonts w:ascii="Times New Roman" w:hAnsi="Times New Roman" w:cs="Times New Roman"/>
        </w:rPr>
        <w:t>o</w:t>
      </w:r>
      <w:r w:rsidR="00335481" w:rsidRPr="00B07091">
        <w:rPr>
          <w:rFonts w:ascii="Times New Roman" w:hAnsi="Times New Roman" w:cs="Times New Roman"/>
        </w:rPr>
        <w:t xml:space="preserve">nly the model for cod </w:t>
      </w:r>
      <w:r w:rsidR="00196D36" w:rsidRPr="00B07091">
        <w:rPr>
          <w:rFonts w:ascii="Times New Roman" w:hAnsi="Times New Roman" w:cs="Times New Roman"/>
        </w:rPr>
        <w:t xml:space="preserve">showed </w:t>
      </w:r>
      <w:r w:rsidR="00335481" w:rsidRPr="00B07091">
        <w:rPr>
          <w:rFonts w:ascii="Times New Roman" w:hAnsi="Times New Roman" w:cs="Times New Roman"/>
        </w:rPr>
        <w:t>a relevant threshold</w:t>
      </w:r>
      <w:r w:rsidR="00F6703E" w:rsidRPr="00B07091">
        <w:rPr>
          <w:rFonts w:ascii="Times New Roman" w:hAnsi="Times New Roman" w:cs="Times New Roman"/>
        </w:rPr>
        <w:t xml:space="preserve"> </w:t>
      </w:r>
      <w:r w:rsidR="00B854A4" w:rsidRPr="00B07091">
        <w:rPr>
          <w:rFonts w:ascii="Times New Roman" w:hAnsi="Times New Roman" w:cs="Times New Roman"/>
        </w:rPr>
        <w:t>(f</w:t>
      </w:r>
      <w:r w:rsidR="00335481" w:rsidRPr="00B07091">
        <w:rPr>
          <w:rFonts w:ascii="Times New Roman" w:hAnsi="Times New Roman" w:cs="Times New Roman"/>
        </w:rPr>
        <w:t xml:space="preserve">igure </w:t>
      </w:r>
      <w:r w:rsidR="00AD1655" w:rsidRPr="00B07091">
        <w:rPr>
          <w:rFonts w:ascii="Times New Roman" w:hAnsi="Times New Roman" w:cs="Times New Roman"/>
        </w:rPr>
        <w:t>S3</w:t>
      </w:r>
      <w:r w:rsidR="00335481" w:rsidRPr="00B07091">
        <w:rPr>
          <w:rFonts w:ascii="Times New Roman" w:hAnsi="Times New Roman" w:cs="Times New Roman"/>
        </w:rPr>
        <w:t>)</w:t>
      </w:r>
      <w:r w:rsidR="00F6703E" w:rsidRPr="00B07091">
        <w:rPr>
          <w:rFonts w:ascii="Times New Roman" w:hAnsi="Times New Roman" w:cs="Times New Roman"/>
        </w:rPr>
        <w:t xml:space="preserve">. </w:t>
      </w:r>
      <w:r w:rsidR="00384D6D" w:rsidRPr="00B07091">
        <w:rPr>
          <w:rFonts w:ascii="Times New Roman" w:hAnsi="Times New Roman" w:cs="Times New Roman"/>
        </w:rPr>
        <w:t xml:space="preserve">We </w:t>
      </w:r>
      <w:r w:rsidR="00196D36" w:rsidRPr="00B07091">
        <w:rPr>
          <w:rFonts w:ascii="Times New Roman" w:hAnsi="Times New Roman" w:cs="Times New Roman"/>
        </w:rPr>
        <w:t>th</w:t>
      </w:r>
      <w:r w:rsidR="00327810" w:rsidRPr="00B07091">
        <w:rPr>
          <w:rFonts w:ascii="Times New Roman" w:hAnsi="Times New Roman" w:cs="Times New Roman"/>
        </w:rPr>
        <w:t>en</w:t>
      </w:r>
      <w:r w:rsidR="00196D36" w:rsidRPr="00B07091">
        <w:rPr>
          <w:rFonts w:ascii="Times New Roman" w:hAnsi="Times New Roman" w:cs="Times New Roman"/>
        </w:rPr>
        <w:t xml:space="preserve"> </w:t>
      </w:r>
      <w:r w:rsidR="00384D6D" w:rsidRPr="00B07091">
        <w:rPr>
          <w:rFonts w:ascii="Times New Roman" w:hAnsi="Times New Roman" w:cs="Times New Roman"/>
        </w:rPr>
        <w:t>modelled capelin following eq</w:t>
      </w:r>
      <w:r w:rsidR="007E10A1" w:rsidRPr="00B07091">
        <w:rPr>
          <w:rFonts w:ascii="Times New Roman" w:hAnsi="Times New Roman" w:cs="Times New Roman"/>
        </w:rPr>
        <w:t>n</w:t>
      </w:r>
      <w:r w:rsidR="004A31D0" w:rsidRPr="00B07091">
        <w:rPr>
          <w:rFonts w:ascii="Times New Roman" w:hAnsi="Times New Roman" w:cs="Times New Roman"/>
        </w:rPr>
        <w:t>.</w:t>
      </w:r>
      <w:r w:rsidR="00384D6D" w:rsidRPr="00B07091">
        <w:rPr>
          <w:rFonts w:ascii="Times New Roman" w:hAnsi="Times New Roman" w:cs="Times New Roman"/>
        </w:rPr>
        <w:t xml:space="preserve"> </w:t>
      </w:r>
      <w:r w:rsidR="00ED6B5D" w:rsidRPr="00B07091">
        <w:rPr>
          <w:rFonts w:ascii="Times New Roman" w:hAnsi="Times New Roman" w:cs="Times New Roman"/>
        </w:rPr>
        <w:t>3</w:t>
      </w:r>
      <w:r w:rsidR="00384D6D" w:rsidRPr="00B07091">
        <w:rPr>
          <w:rFonts w:ascii="Times New Roman" w:hAnsi="Times New Roman" w:cs="Times New Roman"/>
        </w:rPr>
        <w:t xml:space="preserve"> and cod following eq</w:t>
      </w:r>
      <w:r w:rsidR="007E10A1" w:rsidRPr="00B07091">
        <w:rPr>
          <w:rFonts w:ascii="Times New Roman" w:hAnsi="Times New Roman" w:cs="Times New Roman"/>
        </w:rPr>
        <w:t>n</w:t>
      </w:r>
      <w:r w:rsidR="004A31D0" w:rsidRPr="00B07091">
        <w:rPr>
          <w:rFonts w:ascii="Times New Roman" w:hAnsi="Times New Roman" w:cs="Times New Roman"/>
        </w:rPr>
        <w:t>.</w:t>
      </w:r>
      <w:r w:rsidR="00384D6D" w:rsidRPr="00B07091">
        <w:rPr>
          <w:rFonts w:ascii="Times New Roman" w:hAnsi="Times New Roman" w:cs="Times New Roman"/>
        </w:rPr>
        <w:t xml:space="preserve"> </w:t>
      </w:r>
      <w:r w:rsidR="00ED6B5D" w:rsidRPr="00B07091">
        <w:rPr>
          <w:rFonts w:ascii="Times New Roman" w:hAnsi="Times New Roman" w:cs="Times New Roman"/>
        </w:rPr>
        <w:t>5</w:t>
      </w:r>
      <w:r w:rsidR="00B854A4" w:rsidRPr="00B07091">
        <w:rPr>
          <w:rFonts w:ascii="Times New Roman" w:hAnsi="Times New Roman" w:cs="Times New Roman"/>
        </w:rPr>
        <w:t xml:space="preserve"> (t</w:t>
      </w:r>
      <w:r w:rsidR="007E10A1" w:rsidRPr="00B07091">
        <w:rPr>
          <w:rFonts w:ascii="Times New Roman" w:hAnsi="Times New Roman" w:cs="Times New Roman"/>
        </w:rPr>
        <w:t>able 1)</w:t>
      </w:r>
      <w:r w:rsidR="00384D6D" w:rsidRPr="00B07091">
        <w:rPr>
          <w:rFonts w:ascii="Times New Roman" w:hAnsi="Times New Roman" w:cs="Times New Roman"/>
        </w:rPr>
        <w:t xml:space="preserve">. </w:t>
      </w:r>
      <w:r w:rsidR="00F6703E" w:rsidRPr="00B07091">
        <w:rPr>
          <w:rFonts w:ascii="Times New Roman" w:hAnsi="Times New Roman" w:cs="Times New Roman"/>
        </w:rPr>
        <w:t xml:space="preserve">The </w:t>
      </w:r>
      <w:r w:rsidR="00384D6D" w:rsidRPr="00B07091">
        <w:rPr>
          <w:rFonts w:ascii="Times New Roman" w:hAnsi="Times New Roman" w:cs="Times New Roman"/>
        </w:rPr>
        <w:t xml:space="preserve">cod </w:t>
      </w:r>
      <w:r w:rsidR="00F6703E" w:rsidRPr="00B07091">
        <w:rPr>
          <w:rFonts w:ascii="Times New Roman" w:hAnsi="Times New Roman" w:cs="Times New Roman"/>
        </w:rPr>
        <w:t xml:space="preserve">model </w:t>
      </w:r>
      <w:r w:rsidR="00196D36" w:rsidRPr="00B07091">
        <w:rPr>
          <w:rFonts w:ascii="Times New Roman" w:hAnsi="Times New Roman" w:cs="Times New Roman"/>
        </w:rPr>
        <w:t xml:space="preserve">estimated </w:t>
      </w:r>
      <w:r w:rsidR="00F6703E" w:rsidRPr="00B07091">
        <w:rPr>
          <w:rFonts w:ascii="Times New Roman" w:hAnsi="Times New Roman" w:cs="Times New Roman"/>
        </w:rPr>
        <w:t xml:space="preserve">a threshold θ between </w:t>
      </w:r>
      <w:r w:rsidR="006B4878" w:rsidRPr="00B07091">
        <w:rPr>
          <w:rFonts w:ascii="Times New Roman" w:hAnsi="Times New Roman" w:cs="Times New Roman"/>
        </w:rPr>
        <w:t xml:space="preserve">&gt; </w:t>
      </w:r>
      <w:r w:rsidR="00F57CED" w:rsidRPr="00B07091">
        <w:rPr>
          <w:rFonts w:ascii="Times New Roman" w:hAnsi="Times New Roman" w:cs="Times New Roman"/>
        </w:rPr>
        <w:t>201</w:t>
      </w:r>
      <w:r w:rsidR="006B4878" w:rsidRPr="00B07091">
        <w:rPr>
          <w:rFonts w:ascii="Times New Roman" w:hAnsi="Times New Roman" w:cs="Times New Roman"/>
        </w:rPr>
        <w:t xml:space="preserve"> 10</w:t>
      </w:r>
      <w:r w:rsidR="006B4878" w:rsidRPr="00B07091">
        <w:rPr>
          <w:rFonts w:ascii="Times New Roman" w:hAnsi="Times New Roman" w:cs="Times New Roman"/>
          <w:vertAlign w:val="superscript"/>
        </w:rPr>
        <w:t>9</w:t>
      </w:r>
      <w:r w:rsidR="006B4878" w:rsidRPr="00B07091">
        <w:rPr>
          <w:rFonts w:ascii="Times New Roman" w:hAnsi="Times New Roman" w:cs="Times New Roman"/>
        </w:rPr>
        <w:t xml:space="preserve"> and ≤ </w:t>
      </w:r>
      <w:r w:rsidR="00F57CED" w:rsidRPr="00B07091">
        <w:rPr>
          <w:rFonts w:ascii="Times New Roman" w:hAnsi="Times New Roman" w:cs="Times New Roman"/>
        </w:rPr>
        <w:t>209</w:t>
      </w:r>
      <w:r w:rsidR="006B4878" w:rsidRPr="00B07091">
        <w:rPr>
          <w:rFonts w:ascii="Times New Roman" w:hAnsi="Times New Roman" w:cs="Times New Roman"/>
        </w:rPr>
        <w:t xml:space="preserve"> 10</w:t>
      </w:r>
      <w:r w:rsidR="006B4878" w:rsidRPr="00B07091">
        <w:rPr>
          <w:rFonts w:ascii="Times New Roman" w:hAnsi="Times New Roman" w:cs="Times New Roman"/>
          <w:vertAlign w:val="superscript"/>
        </w:rPr>
        <w:t>9</w:t>
      </w:r>
      <w:r w:rsidR="006B4878" w:rsidRPr="00B07091">
        <w:rPr>
          <w:rFonts w:ascii="Times New Roman" w:hAnsi="Times New Roman" w:cs="Times New Roman"/>
        </w:rPr>
        <w:t xml:space="preserve"> capelins (</w:t>
      </w:r>
      <w:r w:rsidR="00B854A4" w:rsidRPr="00B07091">
        <w:rPr>
          <w:rFonts w:ascii="Times New Roman" w:hAnsi="Times New Roman" w:cs="Times New Roman"/>
        </w:rPr>
        <w:t>f</w:t>
      </w:r>
      <w:r w:rsidR="006B4878" w:rsidRPr="00B07091">
        <w:rPr>
          <w:rFonts w:ascii="Times New Roman" w:hAnsi="Times New Roman" w:cs="Times New Roman"/>
        </w:rPr>
        <w:t xml:space="preserve">igure </w:t>
      </w:r>
      <w:r w:rsidR="00AD1655" w:rsidRPr="00B07091">
        <w:rPr>
          <w:rFonts w:ascii="Times New Roman" w:hAnsi="Times New Roman" w:cs="Times New Roman"/>
        </w:rPr>
        <w:t>S3</w:t>
      </w:r>
      <w:r w:rsidR="006B4878" w:rsidRPr="00B07091">
        <w:rPr>
          <w:rFonts w:ascii="Times New Roman" w:hAnsi="Times New Roman" w:cs="Times New Roman"/>
        </w:rPr>
        <w:t>).</w:t>
      </w:r>
    </w:p>
    <w:p w14:paraId="069667D1" w14:textId="5A5A0190" w:rsidR="00947F50" w:rsidRPr="00B07091" w:rsidRDefault="00B83949" w:rsidP="00E41F0F">
      <w:pPr>
        <w:spacing w:after="0" w:line="276" w:lineRule="auto"/>
        <w:ind w:firstLine="708"/>
        <w:rPr>
          <w:rFonts w:ascii="Times New Roman" w:hAnsi="Times New Roman" w:cs="Times New Roman"/>
        </w:rPr>
      </w:pPr>
      <w:r w:rsidRPr="00B07091">
        <w:rPr>
          <w:rFonts w:ascii="Times New Roman" w:hAnsi="Times New Roman" w:cs="Times New Roman"/>
        </w:rPr>
        <w:t>M</w:t>
      </w:r>
      <w:r w:rsidR="00C311DB" w:rsidRPr="00B07091">
        <w:rPr>
          <w:rFonts w:ascii="Times New Roman" w:hAnsi="Times New Roman" w:cs="Times New Roman"/>
        </w:rPr>
        <w:t>odel convergence was evaluated by visual inspection</w:t>
      </w:r>
      <w:r w:rsidR="00947F50" w:rsidRPr="00B07091">
        <w:rPr>
          <w:rFonts w:ascii="Times New Roman" w:hAnsi="Times New Roman" w:cs="Times New Roman"/>
        </w:rPr>
        <w:t xml:space="preserve"> of the four parallel Hamiltonian Monte Carlo chains. The chains were well mixed, had low autocorrelation after thinning and displayed no trends after the burn-in iterations</w:t>
      </w:r>
      <w:r w:rsidR="005C3CC3" w:rsidRPr="00B07091">
        <w:rPr>
          <w:rFonts w:ascii="Times New Roman" w:hAnsi="Times New Roman" w:cs="Times New Roman"/>
        </w:rPr>
        <w:t xml:space="preserve">. There </w:t>
      </w:r>
      <w:r w:rsidRPr="00B07091">
        <w:rPr>
          <w:rFonts w:ascii="Times New Roman" w:hAnsi="Times New Roman" w:cs="Times New Roman"/>
        </w:rPr>
        <w:t>were</w:t>
      </w:r>
      <w:r w:rsidR="00196D36" w:rsidRPr="00B07091">
        <w:rPr>
          <w:rFonts w:ascii="Times New Roman" w:hAnsi="Times New Roman" w:cs="Times New Roman"/>
        </w:rPr>
        <w:t xml:space="preserve"> </w:t>
      </w:r>
      <w:r w:rsidR="00F6703E" w:rsidRPr="00B07091">
        <w:rPr>
          <w:rFonts w:ascii="Times New Roman" w:hAnsi="Times New Roman" w:cs="Times New Roman"/>
        </w:rPr>
        <w:t xml:space="preserve">no divergent transitions in the chains. The </w:t>
      </w:r>
      <w:proofErr w:type="spellStart"/>
      <w:r w:rsidR="00F6703E" w:rsidRPr="00B07091">
        <w:rPr>
          <w:rFonts w:ascii="Times New Roman" w:hAnsi="Times New Roman" w:cs="Times New Roman"/>
        </w:rPr>
        <w:t>Gelman</w:t>
      </w:r>
      <w:proofErr w:type="spellEnd"/>
      <w:r w:rsidR="00F6703E" w:rsidRPr="00B07091">
        <w:rPr>
          <w:rFonts w:ascii="Times New Roman" w:hAnsi="Times New Roman" w:cs="Times New Roman"/>
        </w:rPr>
        <w:t xml:space="preserve"> and Rubin Ȓ convergence diagnostics </w:t>
      </w:r>
      <w:r w:rsidR="00196D36" w:rsidRPr="00B07091">
        <w:rPr>
          <w:rFonts w:ascii="Times New Roman" w:hAnsi="Times New Roman" w:cs="Times New Roman"/>
        </w:rPr>
        <w:t xml:space="preserve">were </w:t>
      </w:r>
      <w:r w:rsidR="00F6703E" w:rsidRPr="00B07091">
        <w:rPr>
          <w:rFonts w:ascii="Times New Roman" w:hAnsi="Times New Roman" w:cs="Times New Roman"/>
        </w:rPr>
        <w:t>&lt;1.002 for all model parameters</w:t>
      </w:r>
      <w:r w:rsidR="00947F50" w:rsidRPr="00B07091">
        <w:rPr>
          <w:rFonts w:ascii="Times New Roman" w:hAnsi="Times New Roman" w:cs="Times New Roman"/>
        </w:rPr>
        <w:t xml:space="preserve"> thus </w:t>
      </w:r>
      <w:r w:rsidR="00F6703E" w:rsidRPr="00B07091">
        <w:rPr>
          <w:rFonts w:ascii="Times New Roman" w:hAnsi="Times New Roman" w:cs="Times New Roman"/>
        </w:rPr>
        <w:t>support</w:t>
      </w:r>
      <w:r w:rsidR="00947F50" w:rsidRPr="00B07091">
        <w:rPr>
          <w:rFonts w:ascii="Times New Roman" w:hAnsi="Times New Roman" w:cs="Times New Roman"/>
        </w:rPr>
        <w:t>ing</w:t>
      </w:r>
      <w:r w:rsidR="00F6703E" w:rsidRPr="00B07091">
        <w:rPr>
          <w:rFonts w:ascii="Times New Roman" w:hAnsi="Times New Roman" w:cs="Times New Roman"/>
        </w:rPr>
        <w:t xml:space="preserve"> convergence. </w:t>
      </w:r>
      <w:r w:rsidR="00947F50" w:rsidRPr="00B07091">
        <w:rPr>
          <w:rFonts w:ascii="Times New Roman" w:hAnsi="Times New Roman" w:cs="Times New Roman"/>
        </w:rPr>
        <w:t>In addition</w:t>
      </w:r>
      <w:r w:rsidR="00533E11" w:rsidRPr="00B07091">
        <w:rPr>
          <w:rFonts w:ascii="Times New Roman" w:hAnsi="Times New Roman" w:cs="Times New Roman"/>
        </w:rPr>
        <w:t>,</w:t>
      </w:r>
      <w:r w:rsidR="00947F50" w:rsidRPr="00B07091">
        <w:rPr>
          <w:rFonts w:ascii="Times New Roman" w:hAnsi="Times New Roman" w:cs="Times New Roman"/>
        </w:rPr>
        <w:t xml:space="preserve"> there was no systematic deviation between the fitted values and the observed time series (figure 2). </w:t>
      </w:r>
    </w:p>
    <w:p w14:paraId="1BA4D6CD" w14:textId="7BAD45C8" w:rsidR="00C70F7B" w:rsidRPr="00B07091" w:rsidRDefault="00462710" w:rsidP="00D2798C">
      <w:pPr>
        <w:pStyle w:val="PlainText"/>
        <w:spacing w:line="276" w:lineRule="auto"/>
        <w:rPr>
          <w:rFonts w:ascii="Times New Roman" w:hAnsi="Times New Roman" w:cs="Times New Roman"/>
        </w:rPr>
      </w:pPr>
      <w:r w:rsidRPr="00B07091">
        <w:rPr>
          <w:rFonts w:ascii="Times New Roman" w:hAnsi="Times New Roman" w:cs="Times New Roman"/>
        </w:rPr>
        <w:t>Median</w:t>
      </w:r>
      <w:r w:rsidR="00F6703E" w:rsidRPr="00B07091">
        <w:rPr>
          <w:rFonts w:ascii="Times New Roman" w:hAnsi="Times New Roman" w:cs="Times New Roman"/>
        </w:rPr>
        <w:t xml:space="preserve"> parameter estimates </w:t>
      </w:r>
      <w:r w:rsidR="00B854A4" w:rsidRPr="00B07091">
        <w:rPr>
          <w:rFonts w:ascii="Times New Roman" w:hAnsi="Times New Roman" w:cs="Times New Roman"/>
        </w:rPr>
        <w:t xml:space="preserve">from these models are </w:t>
      </w:r>
      <w:r w:rsidR="00E847A2" w:rsidRPr="00B07091">
        <w:rPr>
          <w:rFonts w:ascii="Times New Roman" w:hAnsi="Times New Roman" w:cs="Times New Roman"/>
        </w:rPr>
        <w:t xml:space="preserve">presented </w:t>
      </w:r>
      <w:r w:rsidR="00B854A4" w:rsidRPr="00B07091">
        <w:rPr>
          <w:rFonts w:ascii="Times New Roman" w:hAnsi="Times New Roman" w:cs="Times New Roman"/>
        </w:rPr>
        <w:t>in ta</w:t>
      </w:r>
      <w:r w:rsidR="00F6703E" w:rsidRPr="00B07091">
        <w:rPr>
          <w:rFonts w:ascii="Times New Roman" w:hAnsi="Times New Roman" w:cs="Times New Roman"/>
        </w:rPr>
        <w:t xml:space="preserve">ble </w:t>
      </w:r>
      <w:r w:rsidR="00757B90" w:rsidRPr="00B07091">
        <w:rPr>
          <w:rFonts w:ascii="Times New Roman" w:hAnsi="Times New Roman" w:cs="Times New Roman"/>
        </w:rPr>
        <w:t>2</w:t>
      </w:r>
      <w:r w:rsidR="00B854A4" w:rsidRPr="00B07091">
        <w:rPr>
          <w:rFonts w:ascii="Times New Roman" w:hAnsi="Times New Roman" w:cs="Times New Roman"/>
        </w:rPr>
        <w:t xml:space="preserve"> (</w:t>
      </w:r>
      <w:r w:rsidR="00040B82" w:rsidRPr="00B07091">
        <w:rPr>
          <w:rFonts w:ascii="Times New Roman" w:hAnsi="Times New Roman" w:cs="Times New Roman"/>
        </w:rPr>
        <w:t>see fig</w:t>
      </w:r>
      <w:r w:rsidR="00293BCA" w:rsidRPr="00B07091">
        <w:rPr>
          <w:rFonts w:ascii="Times New Roman" w:hAnsi="Times New Roman" w:cs="Times New Roman"/>
        </w:rPr>
        <w:t>ure</w:t>
      </w:r>
      <w:r w:rsidR="00040B82" w:rsidRPr="00B07091">
        <w:rPr>
          <w:rFonts w:ascii="Times New Roman" w:hAnsi="Times New Roman" w:cs="Times New Roman"/>
        </w:rPr>
        <w:t xml:space="preserve"> </w:t>
      </w:r>
      <w:r w:rsidR="00293BCA" w:rsidRPr="00B07091">
        <w:rPr>
          <w:rFonts w:ascii="Times New Roman" w:hAnsi="Times New Roman" w:cs="Times New Roman"/>
        </w:rPr>
        <w:t>S</w:t>
      </w:r>
      <w:r w:rsidR="00040B82" w:rsidRPr="00B07091">
        <w:rPr>
          <w:rFonts w:ascii="Times New Roman" w:hAnsi="Times New Roman" w:cs="Times New Roman"/>
        </w:rPr>
        <w:t>4 for the full marginal posterior distributions</w:t>
      </w:r>
      <w:r w:rsidR="00F6703E" w:rsidRPr="00B07091">
        <w:rPr>
          <w:rFonts w:ascii="Times New Roman" w:hAnsi="Times New Roman" w:cs="Times New Roman"/>
        </w:rPr>
        <w:t xml:space="preserve">). </w:t>
      </w:r>
      <w:r w:rsidR="00396215" w:rsidRPr="00B07091">
        <w:rPr>
          <w:rFonts w:ascii="Times New Roman" w:hAnsi="Times New Roman" w:cs="Times New Roman"/>
        </w:rPr>
        <w:t xml:space="preserve">As </w:t>
      </w:r>
      <w:r w:rsidR="00C70F7B" w:rsidRPr="00B07091">
        <w:rPr>
          <w:rFonts w:ascii="Times New Roman" w:hAnsi="Times New Roman" w:cs="Times New Roman"/>
        </w:rPr>
        <w:t>expected,</w:t>
      </w:r>
      <w:r w:rsidR="00396215" w:rsidRPr="00B07091">
        <w:rPr>
          <w:rFonts w:ascii="Times New Roman" w:hAnsi="Times New Roman" w:cs="Times New Roman"/>
        </w:rPr>
        <w:t xml:space="preserve"> </w:t>
      </w:r>
      <w:r w:rsidR="00D70355" w:rsidRPr="00B07091">
        <w:rPr>
          <w:rFonts w:ascii="Times New Roman" w:hAnsi="Times New Roman" w:cs="Times New Roman"/>
        </w:rPr>
        <w:t>the</w:t>
      </w:r>
      <w:r w:rsidR="00396215" w:rsidRPr="00B07091">
        <w:rPr>
          <w:rFonts w:ascii="Times New Roman" w:hAnsi="Times New Roman" w:cs="Times New Roman"/>
        </w:rPr>
        <w:t xml:space="preserve"> </w:t>
      </w:r>
      <w:r w:rsidR="00C70F7B" w:rsidRPr="00B07091">
        <w:rPr>
          <w:rFonts w:ascii="Times New Roman" w:hAnsi="Times New Roman" w:cs="Times New Roman"/>
        </w:rPr>
        <w:t>model</w:t>
      </w:r>
      <w:r w:rsidR="00396215" w:rsidRPr="00B07091">
        <w:rPr>
          <w:rFonts w:ascii="Times New Roman" w:hAnsi="Times New Roman" w:cs="Times New Roman"/>
        </w:rPr>
        <w:t xml:space="preserve"> indicate</w:t>
      </w:r>
      <w:r w:rsidR="00265E88" w:rsidRPr="00B07091">
        <w:rPr>
          <w:rFonts w:ascii="Times New Roman" w:hAnsi="Times New Roman" w:cs="Times New Roman"/>
        </w:rPr>
        <w:t>d</w:t>
      </w:r>
      <w:r w:rsidR="00396215" w:rsidRPr="00B07091">
        <w:rPr>
          <w:rFonts w:ascii="Times New Roman" w:hAnsi="Times New Roman" w:cs="Times New Roman"/>
        </w:rPr>
        <w:t xml:space="preserve"> a positive effect of the previous year abundance</w:t>
      </w:r>
      <w:r w:rsidR="00D70355" w:rsidRPr="00B07091">
        <w:rPr>
          <w:rFonts w:ascii="Times New Roman" w:hAnsi="Times New Roman" w:cs="Times New Roman"/>
        </w:rPr>
        <w:t xml:space="preserve"> for both species</w:t>
      </w:r>
      <w:r w:rsidR="00396215" w:rsidRPr="00B07091">
        <w:rPr>
          <w:rFonts w:ascii="Times New Roman" w:hAnsi="Times New Roman" w:cs="Times New Roman"/>
        </w:rPr>
        <w:t xml:space="preserve">. </w:t>
      </w:r>
      <w:r w:rsidR="00ED5EF5" w:rsidRPr="00B07091">
        <w:rPr>
          <w:rFonts w:ascii="Times New Roman" w:hAnsi="Times New Roman" w:cs="Times New Roman"/>
        </w:rPr>
        <w:t>T</w:t>
      </w:r>
      <w:r w:rsidR="00F6703E" w:rsidRPr="00B07091">
        <w:rPr>
          <w:rFonts w:ascii="Times New Roman" w:hAnsi="Times New Roman" w:cs="Times New Roman"/>
        </w:rPr>
        <w:t>he environmental v</w:t>
      </w:r>
      <w:r w:rsidR="00327810" w:rsidRPr="00B07091">
        <w:rPr>
          <w:rFonts w:ascii="Times New Roman" w:hAnsi="Times New Roman" w:cs="Times New Roman"/>
        </w:rPr>
        <w:t>a</w:t>
      </w:r>
      <w:r w:rsidR="00F6703E" w:rsidRPr="00B07091">
        <w:rPr>
          <w:rFonts w:ascii="Times New Roman" w:hAnsi="Times New Roman" w:cs="Times New Roman"/>
        </w:rPr>
        <w:t xml:space="preserve">riables (ST and </w:t>
      </w:r>
      <w:proofErr w:type="spellStart"/>
      <w:r w:rsidR="00C70F7B" w:rsidRPr="00B07091">
        <w:rPr>
          <w:rFonts w:ascii="Times New Roman" w:hAnsi="Times New Roman" w:cs="Times New Roman"/>
        </w:rPr>
        <w:t>w</w:t>
      </w:r>
      <w:r w:rsidR="00F6703E" w:rsidRPr="00B07091">
        <w:rPr>
          <w:rFonts w:ascii="Times New Roman" w:hAnsi="Times New Roman" w:cs="Times New Roman"/>
        </w:rPr>
        <w:t>NAO</w:t>
      </w:r>
      <w:proofErr w:type="spellEnd"/>
      <w:r w:rsidR="00F6703E" w:rsidRPr="00B07091">
        <w:rPr>
          <w:rFonts w:ascii="Times New Roman" w:hAnsi="Times New Roman" w:cs="Times New Roman"/>
        </w:rPr>
        <w:t>) d</w:t>
      </w:r>
      <w:r w:rsidR="00265E88" w:rsidRPr="00B07091">
        <w:rPr>
          <w:rFonts w:ascii="Times New Roman" w:hAnsi="Times New Roman" w:cs="Times New Roman"/>
        </w:rPr>
        <w:t>id</w:t>
      </w:r>
      <w:r w:rsidR="00F6703E" w:rsidRPr="00B07091">
        <w:rPr>
          <w:rFonts w:ascii="Times New Roman" w:hAnsi="Times New Roman" w:cs="Times New Roman"/>
        </w:rPr>
        <w:t xml:space="preserve"> </w:t>
      </w:r>
      <w:r w:rsidR="00893B5F" w:rsidRPr="00B07091">
        <w:rPr>
          <w:rFonts w:ascii="Times New Roman" w:hAnsi="Times New Roman" w:cs="Times New Roman"/>
        </w:rPr>
        <w:t xml:space="preserve">not </w:t>
      </w:r>
      <w:r w:rsidR="00C70F7B" w:rsidRPr="00B07091">
        <w:rPr>
          <w:rFonts w:ascii="Times New Roman" w:hAnsi="Times New Roman" w:cs="Times New Roman"/>
        </w:rPr>
        <w:t xml:space="preserve">show an effect for </w:t>
      </w:r>
      <w:r w:rsidR="00893B5F" w:rsidRPr="00B07091">
        <w:rPr>
          <w:rFonts w:ascii="Times New Roman" w:hAnsi="Times New Roman" w:cs="Times New Roman"/>
        </w:rPr>
        <w:t>cod</w:t>
      </w:r>
      <w:r w:rsidR="00AB7C3D" w:rsidRPr="00B07091">
        <w:rPr>
          <w:rFonts w:ascii="Times New Roman" w:hAnsi="Times New Roman" w:cs="Times New Roman"/>
        </w:rPr>
        <w:t xml:space="preserve"> but ST</w:t>
      </w:r>
      <w:r w:rsidR="00533E11" w:rsidRPr="00B07091">
        <w:rPr>
          <w:rFonts w:ascii="Times New Roman" w:hAnsi="Times New Roman" w:cs="Times New Roman"/>
        </w:rPr>
        <w:t xml:space="preserve"> showed an effect (positive)</w:t>
      </w:r>
      <w:r w:rsidR="00AB7C3D" w:rsidRPr="00B07091">
        <w:rPr>
          <w:rFonts w:ascii="Times New Roman" w:hAnsi="Times New Roman" w:cs="Times New Roman"/>
        </w:rPr>
        <w:t xml:space="preserve"> for capelin</w:t>
      </w:r>
      <w:r w:rsidR="00F6703E" w:rsidRPr="00B07091">
        <w:rPr>
          <w:rFonts w:ascii="Times New Roman" w:hAnsi="Times New Roman" w:cs="Times New Roman"/>
        </w:rPr>
        <w:t>.</w:t>
      </w:r>
      <w:r w:rsidR="00C70F7B" w:rsidRPr="00B07091">
        <w:rPr>
          <w:rFonts w:ascii="Times New Roman" w:hAnsi="Times New Roman" w:cs="Times New Roman"/>
        </w:rPr>
        <w:t xml:space="preserve"> For capelin, the cod </w:t>
      </w:r>
      <w:r w:rsidR="00265E88" w:rsidRPr="00B07091">
        <w:rPr>
          <w:rFonts w:ascii="Times New Roman" w:hAnsi="Times New Roman" w:cs="Times New Roman"/>
        </w:rPr>
        <w:t xml:space="preserve">showed </w:t>
      </w:r>
      <w:r w:rsidR="00C70F7B" w:rsidRPr="00B07091">
        <w:rPr>
          <w:rFonts w:ascii="Times New Roman" w:hAnsi="Times New Roman" w:cs="Times New Roman"/>
        </w:rPr>
        <w:t xml:space="preserve">a </w:t>
      </w:r>
      <w:r w:rsidR="00042B69" w:rsidRPr="00B07091">
        <w:rPr>
          <w:rFonts w:ascii="Times New Roman" w:hAnsi="Times New Roman" w:cs="Times New Roman"/>
        </w:rPr>
        <w:t>negative</w:t>
      </w:r>
      <w:r w:rsidR="00C70F7B" w:rsidRPr="00B07091">
        <w:rPr>
          <w:rFonts w:ascii="Times New Roman" w:hAnsi="Times New Roman" w:cs="Times New Roman"/>
        </w:rPr>
        <w:t xml:space="preserve"> effect</w:t>
      </w:r>
      <w:r w:rsidR="00042B69" w:rsidRPr="00B07091">
        <w:rPr>
          <w:rFonts w:ascii="Times New Roman" w:hAnsi="Times New Roman" w:cs="Times New Roman"/>
        </w:rPr>
        <w:t xml:space="preserve"> indicating a predation effect</w:t>
      </w:r>
      <w:r w:rsidR="00C70F7B" w:rsidRPr="00B07091">
        <w:rPr>
          <w:rFonts w:ascii="Times New Roman" w:hAnsi="Times New Roman" w:cs="Times New Roman"/>
        </w:rPr>
        <w:t xml:space="preserve">. </w:t>
      </w:r>
    </w:p>
    <w:p w14:paraId="4EBA811D" w14:textId="525357BA" w:rsidR="00ED5EF5" w:rsidRPr="00B07091" w:rsidRDefault="00C70F7B" w:rsidP="00D2798C">
      <w:pPr>
        <w:pStyle w:val="PlainText"/>
        <w:spacing w:line="276" w:lineRule="auto"/>
        <w:rPr>
          <w:color w:val="0070C0"/>
        </w:rPr>
      </w:pPr>
      <w:r w:rsidRPr="00B07091">
        <w:rPr>
          <w:rFonts w:ascii="Times New Roman" w:hAnsi="Times New Roman" w:cs="Times New Roman"/>
        </w:rPr>
        <w:t>For cod, the capelin abundance, as expressed in number of capelin, has a biologically important</w:t>
      </w:r>
      <w:r w:rsidRPr="00B07091" w:rsidDel="0003228B">
        <w:rPr>
          <w:rFonts w:ascii="Times New Roman" w:hAnsi="Times New Roman" w:cs="Times New Roman"/>
        </w:rPr>
        <w:t xml:space="preserve"> </w:t>
      </w:r>
      <w:r w:rsidRPr="00B07091">
        <w:rPr>
          <w:rFonts w:ascii="Times New Roman" w:hAnsi="Times New Roman" w:cs="Times New Roman"/>
        </w:rPr>
        <w:t xml:space="preserve">effect. The interspecific competition term </w:t>
      </w:r>
      <w:r w:rsidRPr="00B07091">
        <w:rPr>
          <w:rFonts w:ascii="Times New Roman" w:hAnsi="Times New Roman" w:cs="Times New Roman"/>
          <w:color w:val="222222"/>
          <w:sz w:val="21"/>
          <w:shd w:val="clear" w:color="auto" w:fill="FFFFFF"/>
        </w:rPr>
        <w:t>–</w:t>
      </w:r>
      <w:r w:rsidRPr="00B07091">
        <w:rPr>
          <w:rFonts w:ascii="Times New Roman" w:hAnsi="Times New Roman" w:cs="Times New Roman"/>
        </w:rPr>
        <w:t xml:space="preserve"> the effect of capelin numbers on cod </w:t>
      </w:r>
      <w:r w:rsidRPr="00B07091">
        <w:rPr>
          <w:rFonts w:ascii="Times New Roman" w:hAnsi="Times New Roman" w:cs="Times New Roman"/>
          <w:color w:val="222222"/>
          <w:sz w:val="21"/>
          <w:shd w:val="clear" w:color="auto" w:fill="FFFFFF"/>
        </w:rPr>
        <w:t>–</w:t>
      </w:r>
      <w:r w:rsidRPr="00B07091">
        <w:rPr>
          <w:rFonts w:ascii="Times New Roman" w:hAnsi="Times New Roman" w:cs="Times New Roman"/>
        </w:rPr>
        <w:t xml:space="preserve"> </w:t>
      </w:r>
      <w:r w:rsidR="00265E88" w:rsidRPr="00B07091">
        <w:rPr>
          <w:rFonts w:ascii="Times New Roman" w:hAnsi="Times New Roman" w:cs="Times New Roman"/>
        </w:rPr>
        <w:t xml:space="preserve">was </w:t>
      </w:r>
      <w:r w:rsidRPr="00B07091">
        <w:rPr>
          <w:rFonts w:ascii="Times New Roman" w:hAnsi="Times New Roman" w:cs="Times New Roman"/>
        </w:rPr>
        <w:t>negligible (</w:t>
      </w:r>
      <w:proofErr w:type="spellStart"/>
      <w:r w:rsidRPr="00B07091">
        <w:rPr>
          <w:rFonts w:ascii="Times New Roman" w:hAnsi="Times New Roman" w:cs="Times New Roman"/>
        </w:rPr>
        <w:t>a</w:t>
      </w:r>
      <w:r w:rsidRPr="00B07091">
        <w:rPr>
          <w:rFonts w:ascii="Times New Roman" w:hAnsi="Times New Roman" w:cs="Times New Roman"/>
          <w:vertAlign w:val="subscript"/>
        </w:rPr>
        <w:t>cod</w:t>
      </w:r>
      <w:proofErr w:type="gramStart"/>
      <w:r w:rsidRPr="00B07091">
        <w:rPr>
          <w:rFonts w:ascii="Times New Roman" w:hAnsi="Times New Roman" w:cs="Times New Roman"/>
          <w:vertAlign w:val="subscript"/>
        </w:rPr>
        <w:t>,cap</w:t>
      </w:r>
      <w:proofErr w:type="spellEnd"/>
      <w:proofErr w:type="gramEnd"/>
      <w:r w:rsidRPr="00B07091">
        <w:rPr>
          <w:rFonts w:ascii="Times New Roman" w:hAnsi="Times New Roman" w:cs="Times New Roman"/>
        </w:rPr>
        <w:t xml:space="preserve">) when capelin </w:t>
      </w:r>
      <w:r w:rsidR="00265E88" w:rsidRPr="00B07091">
        <w:rPr>
          <w:rFonts w:ascii="Times New Roman" w:hAnsi="Times New Roman" w:cs="Times New Roman"/>
        </w:rPr>
        <w:t xml:space="preserve">was </w:t>
      </w:r>
      <w:r w:rsidRPr="00B07091">
        <w:rPr>
          <w:rFonts w:ascii="Times New Roman" w:hAnsi="Times New Roman" w:cs="Times New Roman"/>
        </w:rPr>
        <w:t xml:space="preserve">under the capelin stock size threshold and </w:t>
      </w:r>
      <w:r w:rsidR="00265E88" w:rsidRPr="00B07091">
        <w:rPr>
          <w:rFonts w:ascii="Times New Roman" w:hAnsi="Times New Roman" w:cs="Times New Roman"/>
        </w:rPr>
        <w:t xml:space="preserve">was </w:t>
      </w:r>
      <w:r w:rsidRPr="00B07091">
        <w:rPr>
          <w:rFonts w:ascii="Times New Roman" w:hAnsi="Times New Roman" w:cs="Times New Roman"/>
        </w:rPr>
        <w:t>positive (</w:t>
      </w:r>
      <w:proofErr w:type="spellStart"/>
      <w:r w:rsidR="00CF0A1C" w:rsidRPr="00B07091">
        <w:rPr>
          <w:rFonts w:ascii="Times New Roman" w:hAnsi="Times New Roman" w:cs="Times New Roman"/>
        </w:rPr>
        <w:t>b</w:t>
      </w:r>
      <w:r w:rsidR="00CF0A1C" w:rsidRPr="00B07091">
        <w:rPr>
          <w:rFonts w:ascii="Times New Roman" w:hAnsi="Times New Roman" w:cs="Times New Roman"/>
          <w:vertAlign w:val="subscript"/>
        </w:rPr>
        <w:t>cod,cap</w:t>
      </w:r>
      <w:proofErr w:type="spellEnd"/>
      <w:r w:rsidRPr="00B07091">
        <w:rPr>
          <w:rFonts w:ascii="Times New Roman" w:hAnsi="Times New Roman" w:cs="Times New Roman"/>
        </w:rPr>
        <w:t xml:space="preserve">) </w:t>
      </w:r>
      <w:r w:rsidR="00CF0A1C" w:rsidRPr="00B07091">
        <w:rPr>
          <w:rFonts w:ascii="Times New Roman" w:hAnsi="Times New Roman" w:cs="Times New Roman"/>
        </w:rPr>
        <w:t>over</w:t>
      </w:r>
      <w:r w:rsidR="00B854A4" w:rsidRPr="00B07091">
        <w:rPr>
          <w:rFonts w:ascii="Times New Roman" w:hAnsi="Times New Roman" w:cs="Times New Roman"/>
        </w:rPr>
        <w:t xml:space="preserve"> the threshold</w:t>
      </w:r>
      <w:r w:rsidR="00ED5EF5" w:rsidRPr="00B07091">
        <w:rPr>
          <w:color w:val="0070C0"/>
        </w:rPr>
        <w:t xml:space="preserve"> </w:t>
      </w:r>
      <w:r w:rsidR="00ED5EF5" w:rsidRPr="00B07091">
        <w:rPr>
          <w:rFonts w:ascii="Times New Roman" w:hAnsi="Times New Roman" w:cs="Times New Roman"/>
        </w:rPr>
        <w:t>changing from 0.03 to 0.52 in a log scale (table</w:t>
      </w:r>
      <w:r w:rsidR="00293BCA" w:rsidRPr="00B07091">
        <w:rPr>
          <w:rFonts w:ascii="Times New Roman" w:hAnsi="Times New Roman" w:cs="Times New Roman"/>
        </w:rPr>
        <w:t xml:space="preserve"> </w:t>
      </w:r>
      <w:r w:rsidR="00ED5EF5" w:rsidRPr="00B07091">
        <w:rPr>
          <w:rFonts w:ascii="Times New Roman" w:hAnsi="Times New Roman" w:cs="Times New Roman"/>
        </w:rPr>
        <w:t>2 and figure S4)</w:t>
      </w:r>
      <w:r w:rsidR="008132C2" w:rsidRPr="00B07091">
        <w:rPr>
          <w:rFonts w:ascii="Times New Roman" w:hAnsi="Times New Roman" w:cs="Times New Roman"/>
        </w:rPr>
        <w:t>.</w:t>
      </w:r>
    </w:p>
    <w:p w14:paraId="1C207FB6" w14:textId="716CDC07" w:rsidR="00C36FDA" w:rsidRPr="00B07091" w:rsidRDefault="00CF0A1C" w:rsidP="00D2798C">
      <w:pPr>
        <w:spacing w:after="0" w:line="276" w:lineRule="auto"/>
        <w:ind w:firstLine="708"/>
        <w:rPr>
          <w:rFonts w:ascii="Times New Roman" w:hAnsi="Times New Roman" w:cs="Times New Roman"/>
        </w:rPr>
      </w:pPr>
      <w:r w:rsidRPr="00B07091">
        <w:rPr>
          <w:rFonts w:ascii="Times New Roman" w:hAnsi="Times New Roman" w:cs="Times New Roman"/>
        </w:rPr>
        <w:t>This indicate</w:t>
      </w:r>
      <w:r w:rsidR="009B57DD" w:rsidRPr="00B07091">
        <w:rPr>
          <w:rFonts w:ascii="Times New Roman" w:hAnsi="Times New Roman" w:cs="Times New Roman"/>
        </w:rPr>
        <w:t>d</w:t>
      </w:r>
      <w:r w:rsidRPr="00B07091">
        <w:rPr>
          <w:rFonts w:ascii="Times New Roman" w:hAnsi="Times New Roman" w:cs="Times New Roman"/>
        </w:rPr>
        <w:t xml:space="preserve"> that the capelin abundance ha</w:t>
      </w:r>
      <w:r w:rsidR="009B57DD" w:rsidRPr="00B07091">
        <w:rPr>
          <w:rFonts w:ascii="Times New Roman" w:hAnsi="Times New Roman" w:cs="Times New Roman"/>
        </w:rPr>
        <w:t>d</w:t>
      </w:r>
      <w:r w:rsidRPr="00B07091">
        <w:rPr>
          <w:rFonts w:ascii="Times New Roman" w:hAnsi="Times New Roman" w:cs="Times New Roman"/>
        </w:rPr>
        <w:t xml:space="preserve"> an effect on cod population only when the capelin stock </w:t>
      </w:r>
      <w:r w:rsidR="000170D9" w:rsidRPr="00B07091">
        <w:rPr>
          <w:rFonts w:ascii="Times New Roman" w:hAnsi="Times New Roman" w:cs="Times New Roman"/>
        </w:rPr>
        <w:t xml:space="preserve">was </w:t>
      </w:r>
      <w:r w:rsidRPr="00B07091">
        <w:rPr>
          <w:rFonts w:ascii="Times New Roman" w:hAnsi="Times New Roman" w:cs="Times New Roman"/>
        </w:rPr>
        <w:t xml:space="preserve">big enough (over </w:t>
      </w:r>
      <w:r w:rsidR="00DF7389" w:rsidRPr="00B07091">
        <w:rPr>
          <w:rFonts w:ascii="Times New Roman" w:hAnsi="Times New Roman" w:cs="Times New Roman"/>
        </w:rPr>
        <w:t>209</w:t>
      </w:r>
      <w:r w:rsidR="005A7A1A" w:rsidRPr="00B07091">
        <w:rPr>
          <w:rFonts w:ascii="Times New Roman" w:hAnsi="Times New Roman" w:cs="Times New Roman"/>
        </w:rPr>
        <w:t xml:space="preserve"> billion</w:t>
      </w:r>
      <w:r w:rsidRPr="00B07091">
        <w:rPr>
          <w:rFonts w:ascii="Times New Roman" w:hAnsi="Times New Roman" w:cs="Times New Roman"/>
          <w:vertAlign w:val="superscript"/>
        </w:rPr>
        <w:t xml:space="preserve"> </w:t>
      </w:r>
      <w:r w:rsidRPr="00B07091">
        <w:rPr>
          <w:rFonts w:ascii="Times New Roman" w:hAnsi="Times New Roman" w:cs="Times New Roman"/>
        </w:rPr>
        <w:t>individuals).</w:t>
      </w:r>
      <w:r w:rsidR="00C70F7B" w:rsidRPr="00B07091">
        <w:rPr>
          <w:rFonts w:ascii="Times New Roman" w:hAnsi="Times New Roman" w:cs="Times New Roman"/>
          <w:i/>
        </w:rPr>
        <w:t xml:space="preserve"> </w:t>
      </w:r>
      <w:r w:rsidR="00F6703E" w:rsidRPr="00B07091">
        <w:rPr>
          <w:rFonts w:ascii="Times New Roman" w:hAnsi="Times New Roman" w:cs="Times New Roman"/>
        </w:rPr>
        <w:t xml:space="preserve">  </w:t>
      </w:r>
    </w:p>
    <w:p w14:paraId="1366DE6B" w14:textId="77777777" w:rsidR="008027E6" w:rsidRPr="00B07091" w:rsidRDefault="008027E6" w:rsidP="00D2798C">
      <w:pPr>
        <w:spacing w:after="0" w:line="480" w:lineRule="auto"/>
        <w:ind w:firstLine="708"/>
        <w:rPr>
          <w:rFonts w:ascii="Times New Roman" w:hAnsi="Times New Roman" w:cs="Times New Roman"/>
        </w:rPr>
      </w:pPr>
    </w:p>
    <w:p w14:paraId="0153E263" w14:textId="2142FF30" w:rsidR="00042B69" w:rsidRPr="00B07091" w:rsidRDefault="00F1237D" w:rsidP="00EB64F3">
      <w:pPr>
        <w:spacing w:after="200" w:line="276" w:lineRule="auto"/>
        <w:rPr>
          <w:rFonts w:ascii="AdvOTd67905e7" w:hAnsi="AdvOTd67905e7" w:cs="AdvOTd67905e7"/>
          <w:color w:val="58BA47"/>
          <w:sz w:val="32"/>
          <w:szCs w:val="32"/>
        </w:rPr>
      </w:pPr>
      <w:r w:rsidRPr="00B07091">
        <w:rPr>
          <w:rFonts w:ascii="AdvOTd67905e7" w:hAnsi="AdvOTd67905e7" w:cs="AdvOTd67905e7"/>
          <w:color w:val="58BA47"/>
          <w:sz w:val="32"/>
          <w:szCs w:val="32"/>
        </w:rPr>
        <w:t xml:space="preserve">4. </w:t>
      </w:r>
      <w:r w:rsidR="00042B69" w:rsidRPr="00B07091">
        <w:rPr>
          <w:rFonts w:ascii="AdvOTd67905e7" w:hAnsi="AdvOTd67905e7" w:cs="AdvOTd67905e7"/>
          <w:color w:val="58BA47"/>
          <w:sz w:val="32"/>
          <w:szCs w:val="32"/>
        </w:rPr>
        <w:t>Discussion</w:t>
      </w:r>
    </w:p>
    <w:p w14:paraId="1635C03F" w14:textId="6153E39F" w:rsidR="00A96E09" w:rsidRPr="00B07091" w:rsidRDefault="00884439" w:rsidP="0074100C">
      <w:pPr>
        <w:spacing w:after="0" w:line="276" w:lineRule="auto"/>
        <w:ind w:firstLine="708"/>
        <w:rPr>
          <w:rFonts w:ascii="Times New Roman" w:hAnsi="Times New Roman" w:cs="Times New Roman"/>
        </w:rPr>
      </w:pPr>
      <w:r w:rsidRPr="00B07091">
        <w:rPr>
          <w:rFonts w:ascii="Times New Roman" w:hAnsi="Times New Roman" w:cs="Times New Roman"/>
        </w:rPr>
        <w:t xml:space="preserve">Through the use of a state-space model, that combined long-term population time series with environmental variables, we illustrated how historically established species interactions may be drastically modified if explored for nonlinearity. </w:t>
      </w:r>
      <w:r w:rsidR="008F092E" w:rsidRPr="00B07091">
        <w:rPr>
          <w:rFonts w:ascii="Times New Roman" w:hAnsi="Times New Roman" w:cs="Times New Roman"/>
        </w:rPr>
        <w:t xml:space="preserve">. </w:t>
      </w:r>
      <w:r w:rsidR="00D10138" w:rsidRPr="00B07091">
        <w:rPr>
          <w:rFonts w:ascii="Times New Roman" w:hAnsi="Times New Roman" w:cs="Times New Roman"/>
        </w:rPr>
        <w:t>Especially</w:t>
      </w:r>
      <w:r w:rsidR="008F092E" w:rsidRPr="00B07091">
        <w:rPr>
          <w:rFonts w:ascii="Times New Roman" w:hAnsi="Times New Roman" w:cs="Times New Roman"/>
        </w:rPr>
        <w:t xml:space="preserve">, we find empirical evidence for nonlinear </w:t>
      </w:r>
      <w:r w:rsidR="00B854A4" w:rsidRPr="00B07091">
        <w:rPr>
          <w:rFonts w:ascii="Times New Roman" w:hAnsi="Times New Roman" w:cs="Times New Roman"/>
        </w:rPr>
        <w:t>change in species interaction (t</w:t>
      </w:r>
      <w:r w:rsidR="008F092E" w:rsidRPr="00B07091">
        <w:rPr>
          <w:rFonts w:ascii="Times New Roman" w:hAnsi="Times New Roman" w:cs="Times New Roman"/>
        </w:rPr>
        <w:t xml:space="preserve">able </w:t>
      </w:r>
      <w:r w:rsidR="00757B90" w:rsidRPr="00B07091">
        <w:rPr>
          <w:rFonts w:ascii="Times New Roman" w:hAnsi="Times New Roman" w:cs="Times New Roman"/>
        </w:rPr>
        <w:t>2</w:t>
      </w:r>
      <w:r w:rsidR="008F092E" w:rsidRPr="00B07091">
        <w:rPr>
          <w:rFonts w:ascii="Times New Roman" w:hAnsi="Times New Roman" w:cs="Times New Roman"/>
        </w:rPr>
        <w:t>) directly linked to prey abundance change.</w:t>
      </w:r>
      <w:r w:rsidR="00A96E09" w:rsidRPr="00B07091">
        <w:rPr>
          <w:rFonts w:ascii="Times New Roman" w:hAnsi="Times New Roman" w:cs="Times New Roman"/>
        </w:rPr>
        <w:t xml:space="preserve"> Non-additive population dynamics has been previously described for many species, notably for cod due </w:t>
      </w:r>
      <w:r w:rsidR="005B4E9A" w:rsidRPr="00B07091">
        <w:rPr>
          <w:rFonts w:ascii="Times New Roman" w:hAnsi="Times New Roman" w:cs="Times New Roman"/>
        </w:rPr>
        <w:t xml:space="preserve">to </w:t>
      </w:r>
      <w:r w:rsidR="00A96E09" w:rsidRPr="00B07091">
        <w:rPr>
          <w:rFonts w:ascii="Times New Roman" w:hAnsi="Times New Roman" w:cs="Times New Roman"/>
        </w:rPr>
        <w:t xml:space="preserve">this species data availability </w:t>
      </w:r>
      <w:r w:rsidR="00316D83">
        <w:rPr>
          <w:rFonts w:ascii="Times New Roman" w:hAnsi="Times New Roman" w:cs="Times New Roman"/>
          <w:noProof/>
        </w:rPr>
        <w:t>(11, 34)</w:t>
      </w:r>
      <w:r w:rsidR="00005817" w:rsidRPr="00B07091" w:rsidDel="00005817">
        <w:rPr>
          <w:rFonts w:ascii="Times New Roman" w:hAnsi="Times New Roman" w:cs="Times New Roman"/>
        </w:rPr>
        <w:t xml:space="preserve"> </w:t>
      </w:r>
      <w:r w:rsidR="00A96E09" w:rsidRPr="00B07091">
        <w:rPr>
          <w:rFonts w:ascii="Times New Roman" w:hAnsi="Times New Roman" w:cs="Times New Roman"/>
        </w:rPr>
        <w:t xml:space="preserve">but seldom addressing interaction with another species </w:t>
      </w:r>
      <w:r w:rsidR="0088704B" w:rsidRPr="00B07091">
        <w:rPr>
          <w:rFonts w:ascii="Times New Roman" w:hAnsi="Times New Roman" w:cs="Times New Roman"/>
          <w:noProof/>
        </w:rPr>
        <w:t>(12, 13)</w:t>
      </w:r>
      <w:r w:rsidR="00A96E09" w:rsidRPr="00B07091">
        <w:rPr>
          <w:rFonts w:ascii="Times New Roman" w:hAnsi="Times New Roman" w:cs="Times New Roman"/>
        </w:rPr>
        <w:t xml:space="preserve">. </w:t>
      </w:r>
    </w:p>
    <w:p w14:paraId="0146A2C0" w14:textId="39AF5CD9" w:rsidR="00B1363A" w:rsidRPr="00B07091" w:rsidRDefault="008F092E" w:rsidP="00EB64F3">
      <w:pPr>
        <w:spacing w:after="0" w:line="276" w:lineRule="auto"/>
        <w:ind w:firstLine="708"/>
        <w:rPr>
          <w:rFonts w:ascii="Times New Roman" w:hAnsi="Times New Roman" w:cs="Times New Roman"/>
        </w:rPr>
      </w:pPr>
      <w:r w:rsidRPr="00B07091">
        <w:rPr>
          <w:rFonts w:ascii="Times New Roman" w:hAnsi="Times New Roman" w:cs="Times New Roman"/>
        </w:rPr>
        <w:t>The NEA cod is a</w:t>
      </w:r>
      <w:r w:rsidR="00F32BCA" w:rsidRPr="00B07091">
        <w:rPr>
          <w:rFonts w:ascii="Times New Roman" w:hAnsi="Times New Roman" w:cs="Times New Roman"/>
        </w:rPr>
        <w:t xml:space="preserve"> </w:t>
      </w:r>
      <w:r w:rsidRPr="00B07091">
        <w:rPr>
          <w:rFonts w:ascii="Times New Roman" w:hAnsi="Times New Roman" w:cs="Times New Roman"/>
        </w:rPr>
        <w:t xml:space="preserve">predator </w:t>
      </w:r>
      <w:r w:rsidR="00BB7228" w:rsidRPr="00B07091">
        <w:rPr>
          <w:rFonts w:ascii="Times New Roman" w:hAnsi="Times New Roman" w:cs="Times New Roman"/>
        </w:rPr>
        <w:t xml:space="preserve">of the BS capelin </w:t>
      </w:r>
      <w:r w:rsidRPr="00B07091">
        <w:rPr>
          <w:rFonts w:ascii="Times New Roman" w:hAnsi="Times New Roman" w:cs="Times New Roman"/>
        </w:rPr>
        <w:t xml:space="preserve">as shown by diet studies </w:t>
      </w:r>
      <w:r w:rsidR="0088704B" w:rsidRPr="00B07091">
        <w:rPr>
          <w:rFonts w:ascii="Times New Roman" w:hAnsi="Times New Roman" w:cs="Times New Roman"/>
          <w:noProof/>
        </w:rPr>
        <w:t>(19, 20)</w:t>
      </w:r>
      <w:r w:rsidR="009471E8" w:rsidRPr="00B07091" w:rsidDel="009471E8">
        <w:rPr>
          <w:rFonts w:ascii="Times New Roman" w:hAnsi="Times New Roman" w:cs="Times New Roman"/>
        </w:rPr>
        <w:t xml:space="preserve"> </w:t>
      </w:r>
      <w:r w:rsidRPr="00B07091">
        <w:rPr>
          <w:rFonts w:ascii="Times New Roman" w:hAnsi="Times New Roman" w:cs="Times New Roman"/>
        </w:rPr>
        <w:t xml:space="preserve">and </w:t>
      </w:r>
      <w:r w:rsidR="005F11BF" w:rsidRPr="00B07091">
        <w:rPr>
          <w:rFonts w:ascii="Times New Roman" w:hAnsi="Times New Roman" w:cs="Times New Roman"/>
        </w:rPr>
        <w:t xml:space="preserve">we indeed found a </w:t>
      </w:r>
      <w:r w:rsidRPr="00B07091">
        <w:rPr>
          <w:rFonts w:ascii="Times New Roman" w:hAnsi="Times New Roman" w:cs="Times New Roman"/>
        </w:rPr>
        <w:t xml:space="preserve">negative </w:t>
      </w:r>
      <w:r w:rsidR="002B42D5" w:rsidRPr="00B07091">
        <w:rPr>
          <w:rFonts w:ascii="Times New Roman" w:hAnsi="Times New Roman" w:cs="Times New Roman"/>
        </w:rPr>
        <w:t xml:space="preserve">effect of cod on </w:t>
      </w:r>
      <w:r w:rsidRPr="00B07091">
        <w:rPr>
          <w:rFonts w:ascii="Times New Roman" w:hAnsi="Times New Roman" w:cs="Times New Roman"/>
        </w:rPr>
        <w:t>capelin stock</w:t>
      </w:r>
      <w:r w:rsidR="00084331" w:rsidRPr="00B07091">
        <w:rPr>
          <w:rFonts w:ascii="Times New Roman" w:hAnsi="Times New Roman" w:cs="Times New Roman"/>
        </w:rPr>
        <w:t>, similar to previous findings</w:t>
      </w:r>
      <w:r w:rsidR="002215B6" w:rsidRPr="00B07091">
        <w:rPr>
          <w:rFonts w:ascii="Times New Roman" w:hAnsi="Times New Roman" w:cs="Times New Roman"/>
        </w:rPr>
        <w:t xml:space="preserve"> </w:t>
      </w:r>
      <w:r w:rsidR="00316D83">
        <w:rPr>
          <w:rFonts w:ascii="Times New Roman" w:hAnsi="Times New Roman" w:cs="Times New Roman"/>
          <w:noProof/>
        </w:rPr>
        <w:t>(35)</w:t>
      </w:r>
      <w:r w:rsidRPr="00B07091">
        <w:rPr>
          <w:rFonts w:ascii="Times New Roman" w:hAnsi="Times New Roman" w:cs="Times New Roman"/>
        </w:rPr>
        <w:t>.</w:t>
      </w:r>
      <w:r w:rsidR="00B1363A" w:rsidRPr="00B07091">
        <w:rPr>
          <w:rFonts w:ascii="Times New Roman" w:hAnsi="Times New Roman" w:cs="Times New Roman"/>
        </w:rPr>
        <w:t xml:space="preserve"> </w:t>
      </w:r>
      <w:r w:rsidRPr="00B07091">
        <w:rPr>
          <w:rFonts w:ascii="Times New Roman" w:hAnsi="Times New Roman" w:cs="Times New Roman"/>
        </w:rPr>
        <w:t xml:space="preserve">Conversely, capelin abundance is expected </w:t>
      </w:r>
      <w:r w:rsidR="005B4E9A" w:rsidRPr="00B07091">
        <w:rPr>
          <w:rFonts w:ascii="Times New Roman" w:hAnsi="Times New Roman" w:cs="Times New Roman"/>
        </w:rPr>
        <w:t>to have a positive effect</w:t>
      </w:r>
      <w:r w:rsidR="005B4E9A" w:rsidRPr="00B07091" w:rsidDel="005B4E9A">
        <w:rPr>
          <w:rFonts w:ascii="Times New Roman" w:hAnsi="Times New Roman" w:cs="Times New Roman"/>
        </w:rPr>
        <w:t xml:space="preserve"> </w:t>
      </w:r>
      <w:r w:rsidR="005B4E9A" w:rsidRPr="00B07091">
        <w:rPr>
          <w:rFonts w:ascii="Times New Roman" w:hAnsi="Times New Roman" w:cs="Times New Roman"/>
        </w:rPr>
        <w:t xml:space="preserve">on </w:t>
      </w:r>
      <w:r w:rsidRPr="00B07091">
        <w:rPr>
          <w:rFonts w:ascii="Times New Roman" w:hAnsi="Times New Roman" w:cs="Times New Roman"/>
        </w:rPr>
        <w:t>cod stock</w:t>
      </w:r>
      <w:r w:rsidR="00B1363A" w:rsidRPr="00B07091">
        <w:rPr>
          <w:rFonts w:ascii="Times New Roman" w:hAnsi="Times New Roman" w:cs="Times New Roman"/>
        </w:rPr>
        <w:t xml:space="preserve"> </w:t>
      </w:r>
      <w:r w:rsidR="00316D83">
        <w:rPr>
          <w:rFonts w:ascii="Times New Roman" w:hAnsi="Times New Roman" w:cs="Times New Roman"/>
          <w:noProof/>
        </w:rPr>
        <w:t>(36, 37)</w:t>
      </w:r>
      <w:r w:rsidR="008426BF" w:rsidRPr="00B07091" w:rsidDel="008426BF">
        <w:rPr>
          <w:rFonts w:ascii="Times New Roman" w:hAnsi="Times New Roman" w:cs="Times New Roman"/>
        </w:rPr>
        <w:t xml:space="preserve"> </w:t>
      </w:r>
      <w:r w:rsidR="002215B6" w:rsidRPr="00B07091">
        <w:rPr>
          <w:rFonts w:ascii="Times New Roman" w:hAnsi="Times New Roman" w:cs="Times New Roman"/>
        </w:rPr>
        <w:t xml:space="preserve">and our results also support the claim. However, </w:t>
      </w:r>
      <w:r w:rsidR="00A96E09" w:rsidRPr="00B07091">
        <w:rPr>
          <w:rFonts w:ascii="Times New Roman" w:hAnsi="Times New Roman" w:cs="Times New Roman"/>
        </w:rPr>
        <w:t>they</w:t>
      </w:r>
      <w:r w:rsidR="002215B6" w:rsidRPr="00B07091">
        <w:rPr>
          <w:rFonts w:ascii="Times New Roman" w:hAnsi="Times New Roman" w:cs="Times New Roman"/>
        </w:rPr>
        <w:t xml:space="preserve"> also indicate </w:t>
      </w:r>
      <w:r w:rsidRPr="00B07091">
        <w:rPr>
          <w:rFonts w:ascii="Times New Roman" w:hAnsi="Times New Roman" w:cs="Times New Roman"/>
        </w:rPr>
        <w:t>that capelin effect on cod</w:t>
      </w:r>
      <w:r w:rsidR="002215B6" w:rsidRPr="00B07091">
        <w:rPr>
          <w:rFonts w:ascii="Times New Roman" w:hAnsi="Times New Roman" w:cs="Times New Roman"/>
        </w:rPr>
        <w:t xml:space="preserve"> is non-linear and it </w:t>
      </w:r>
      <w:r w:rsidRPr="00B07091">
        <w:rPr>
          <w:rFonts w:ascii="Times New Roman" w:hAnsi="Times New Roman" w:cs="Times New Roman"/>
        </w:rPr>
        <w:t xml:space="preserve">becomes negligible for low capelin abundance. </w:t>
      </w:r>
    </w:p>
    <w:p w14:paraId="2FA7A548" w14:textId="2CA0E7F3" w:rsidR="00DA274F" w:rsidRPr="00B07091" w:rsidRDefault="008F092E" w:rsidP="00EB64F3">
      <w:pPr>
        <w:spacing w:after="0" w:line="276" w:lineRule="auto"/>
        <w:ind w:firstLine="708"/>
        <w:rPr>
          <w:rFonts w:ascii="Times New Roman" w:hAnsi="Times New Roman" w:cs="Times New Roman"/>
        </w:rPr>
      </w:pPr>
      <w:r w:rsidRPr="00B07091">
        <w:rPr>
          <w:rFonts w:ascii="Times New Roman" w:hAnsi="Times New Roman" w:cs="Times New Roman"/>
        </w:rPr>
        <w:t>Capelin is highly represented in the cod diet during warm years,</w:t>
      </w:r>
      <w:r w:rsidR="00CC5241" w:rsidRPr="00B07091">
        <w:rPr>
          <w:rFonts w:ascii="Times New Roman" w:hAnsi="Times New Roman" w:cs="Times New Roman"/>
        </w:rPr>
        <w:t xml:space="preserve"> with</w:t>
      </w:r>
      <w:r w:rsidRPr="00B07091">
        <w:rPr>
          <w:rFonts w:ascii="Times New Roman" w:hAnsi="Times New Roman" w:cs="Times New Roman"/>
        </w:rPr>
        <w:t xml:space="preserve"> temperature affecting</w:t>
      </w:r>
      <w:r w:rsidR="00CC5241" w:rsidRPr="00B07091">
        <w:rPr>
          <w:rFonts w:ascii="Times New Roman" w:hAnsi="Times New Roman" w:cs="Times New Roman"/>
        </w:rPr>
        <w:t xml:space="preserve"> both</w:t>
      </w:r>
      <w:r w:rsidRPr="00B07091">
        <w:rPr>
          <w:rFonts w:ascii="Times New Roman" w:hAnsi="Times New Roman" w:cs="Times New Roman"/>
        </w:rPr>
        <w:t xml:space="preserve"> </w:t>
      </w:r>
      <w:r w:rsidR="00FB00A7" w:rsidRPr="00B07091">
        <w:rPr>
          <w:rFonts w:ascii="Times New Roman" w:hAnsi="Times New Roman" w:cs="Times New Roman"/>
        </w:rPr>
        <w:t>BS capelin’s</w:t>
      </w:r>
      <w:r w:rsidRPr="00B07091">
        <w:rPr>
          <w:rFonts w:ascii="Times New Roman" w:hAnsi="Times New Roman" w:cs="Times New Roman"/>
        </w:rPr>
        <w:t xml:space="preserve"> distribution </w:t>
      </w:r>
      <w:r w:rsidR="00316D83">
        <w:rPr>
          <w:rFonts w:ascii="Times New Roman" w:hAnsi="Times New Roman" w:cs="Times New Roman"/>
          <w:noProof/>
        </w:rPr>
        <w:t>(38)</w:t>
      </w:r>
      <w:r w:rsidR="008426BF" w:rsidRPr="00B07091" w:rsidDel="008426BF">
        <w:rPr>
          <w:rFonts w:ascii="Times New Roman" w:hAnsi="Times New Roman" w:cs="Times New Roman"/>
        </w:rPr>
        <w:t xml:space="preserve"> </w:t>
      </w:r>
      <w:r w:rsidR="00FB00A7" w:rsidRPr="00B07091">
        <w:rPr>
          <w:rFonts w:ascii="Times New Roman" w:hAnsi="Times New Roman" w:cs="Times New Roman"/>
        </w:rPr>
        <w:t>and</w:t>
      </w:r>
      <w:r w:rsidRPr="00B07091">
        <w:rPr>
          <w:rFonts w:ascii="Times New Roman" w:hAnsi="Times New Roman" w:cs="Times New Roman"/>
        </w:rPr>
        <w:t xml:space="preserve"> recruitment</w:t>
      </w:r>
      <w:r w:rsidR="00FB00A7" w:rsidRPr="00B07091">
        <w:rPr>
          <w:rFonts w:ascii="Times New Roman" w:hAnsi="Times New Roman" w:cs="Times New Roman"/>
        </w:rPr>
        <w:t xml:space="preserve"> </w:t>
      </w:r>
      <w:r w:rsidR="00316D83">
        <w:rPr>
          <w:rFonts w:ascii="Times New Roman" w:hAnsi="Times New Roman" w:cs="Times New Roman"/>
          <w:noProof/>
        </w:rPr>
        <w:t>(35)</w:t>
      </w:r>
      <w:r w:rsidRPr="00B07091">
        <w:rPr>
          <w:rFonts w:ascii="Times New Roman" w:hAnsi="Times New Roman" w:cs="Times New Roman"/>
        </w:rPr>
        <w:t xml:space="preserve">. However, cod is a generalist predator with a diet following the community composition change </w:t>
      </w:r>
      <w:r w:rsidR="00316D83">
        <w:rPr>
          <w:rFonts w:ascii="Times New Roman" w:hAnsi="Times New Roman" w:cs="Times New Roman"/>
          <w:noProof/>
        </w:rPr>
        <w:t>(39)</w:t>
      </w:r>
      <w:r w:rsidRPr="00B07091">
        <w:rPr>
          <w:rFonts w:ascii="Times New Roman" w:hAnsi="Times New Roman" w:cs="Times New Roman"/>
        </w:rPr>
        <w:t xml:space="preserve">. </w:t>
      </w:r>
      <w:r w:rsidR="0023338E" w:rsidRPr="00B07091">
        <w:rPr>
          <w:rFonts w:ascii="Times New Roman" w:hAnsi="Times New Roman" w:cs="Times New Roman"/>
        </w:rPr>
        <w:t xml:space="preserve">Indeed, </w:t>
      </w:r>
      <w:r w:rsidR="00F516E1" w:rsidRPr="00B07091">
        <w:rPr>
          <w:rFonts w:ascii="Times New Roman" w:hAnsi="Times New Roman" w:cs="Times New Roman"/>
        </w:rPr>
        <w:t xml:space="preserve">the composition of the </w:t>
      </w:r>
      <w:r w:rsidRPr="00B07091">
        <w:rPr>
          <w:rFonts w:ascii="Times New Roman" w:hAnsi="Times New Roman" w:cs="Times New Roman"/>
        </w:rPr>
        <w:t xml:space="preserve">cod diet </w:t>
      </w:r>
      <w:r w:rsidR="00F516E1" w:rsidRPr="00B07091">
        <w:rPr>
          <w:rFonts w:ascii="Times New Roman" w:hAnsi="Times New Roman" w:cs="Times New Roman"/>
        </w:rPr>
        <w:t>changes</w:t>
      </w:r>
      <w:r w:rsidRPr="00B07091">
        <w:rPr>
          <w:rFonts w:ascii="Times New Roman" w:hAnsi="Times New Roman" w:cs="Times New Roman"/>
        </w:rPr>
        <w:t xml:space="preserve"> over time in </w:t>
      </w:r>
      <w:r w:rsidR="00F516E1" w:rsidRPr="00B07091">
        <w:rPr>
          <w:rFonts w:ascii="Times New Roman" w:hAnsi="Times New Roman" w:cs="Times New Roman"/>
        </w:rPr>
        <w:t xml:space="preserve">response </w:t>
      </w:r>
      <w:r w:rsidRPr="00B07091">
        <w:rPr>
          <w:rFonts w:ascii="Times New Roman" w:hAnsi="Times New Roman" w:cs="Times New Roman"/>
        </w:rPr>
        <w:t xml:space="preserve">to environmental conditions and the dynamics of the prey populations </w:t>
      </w:r>
      <w:r w:rsidR="00316D83">
        <w:rPr>
          <w:rFonts w:ascii="Times New Roman" w:hAnsi="Times New Roman" w:cs="Times New Roman"/>
          <w:noProof/>
        </w:rPr>
        <w:t>(20, 40)</w:t>
      </w:r>
      <w:r w:rsidRPr="00B07091">
        <w:rPr>
          <w:rFonts w:ascii="Times New Roman" w:hAnsi="Times New Roman" w:cs="Times New Roman"/>
        </w:rPr>
        <w:t xml:space="preserve">. This is particularly visible for the capelin proportion in the cod diet that follows the capelin population change, hence its availability as prey for the cod. This high plasticity in its diet may explain </w:t>
      </w:r>
      <w:r w:rsidR="0023338E" w:rsidRPr="00B07091">
        <w:rPr>
          <w:rFonts w:ascii="Times New Roman" w:hAnsi="Times New Roman" w:cs="Times New Roman"/>
        </w:rPr>
        <w:t xml:space="preserve">our result </w:t>
      </w:r>
      <w:r w:rsidRPr="00B07091">
        <w:rPr>
          <w:rFonts w:ascii="Times New Roman" w:hAnsi="Times New Roman" w:cs="Times New Roman"/>
        </w:rPr>
        <w:t xml:space="preserve">that cod population is not affected by capelin abundance when </w:t>
      </w:r>
      <w:r w:rsidR="00DA274F" w:rsidRPr="00B07091">
        <w:rPr>
          <w:rFonts w:ascii="Times New Roman" w:hAnsi="Times New Roman" w:cs="Times New Roman"/>
        </w:rPr>
        <w:t xml:space="preserve">the latter is </w:t>
      </w:r>
      <w:r w:rsidR="00F36DB6" w:rsidRPr="00B07091">
        <w:rPr>
          <w:rFonts w:ascii="Times New Roman" w:hAnsi="Times New Roman" w:cs="Times New Roman"/>
        </w:rPr>
        <w:t xml:space="preserve">under a relatively high threshold of </w:t>
      </w:r>
      <w:r w:rsidR="009B52BF" w:rsidRPr="00B07091">
        <w:rPr>
          <w:rFonts w:ascii="Times New Roman" w:hAnsi="Times New Roman" w:cs="Times New Roman"/>
        </w:rPr>
        <w:t>2</w:t>
      </w:r>
      <w:r w:rsidR="00F57CED" w:rsidRPr="00B07091">
        <w:rPr>
          <w:rFonts w:ascii="Times New Roman" w:hAnsi="Times New Roman" w:cs="Times New Roman"/>
        </w:rPr>
        <w:t>09</w:t>
      </w:r>
      <w:r w:rsidR="00F36DB6" w:rsidRPr="00B07091">
        <w:rPr>
          <w:rFonts w:ascii="Times New Roman" w:hAnsi="Times New Roman" w:cs="Times New Roman"/>
        </w:rPr>
        <w:t xml:space="preserve"> </w:t>
      </w:r>
      <w:r w:rsidR="00C14C49" w:rsidRPr="00B07091">
        <w:rPr>
          <w:rFonts w:ascii="Times New Roman" w:hAnsi="Times New Roman" w:cs="Times New Roman"/>
        </w:rPr>
        <w:t>billion</w:t>
      </w:r>
      <w:r w:rsidR="00F36DB6" w:rsidRPr="00B07091">
        <w:rPr>
          <w:rFonts w:ascii="Times New Roman" w:hAnsi="Times New Roman" w:cs="Times New Roman"/>
        </w:rPr>
        <w:t xml:space="preserve"> individuals (note that the </w:t>
      </w:r>
      <w:r w:rsidR="00C14C49" w:rsidRPr="00B07091">
        <w:rPr>
          <w:rFonts w:ascii="Times New Roman" w:hAnsi="Times New Roman" w:cs="Times New Roman"/>
        </w:rPr>
        <w:t>median</w:t>
      </w:r>
      <w:r w:rsidR="00F36DB6" w:rsidRPr="00B07091">
        <w:rPr>
          <w:rFonts w:ascii="Times New Roman" w:hAnsi="Times New Roman" w:cs="Times New Roman"/>
        </w:rPr>
        <w:t xml:space="preserve"> capelin abundance during the studied period</w:t>
      </w:r>
      <w:r w:rsidR="00C14C49" w:rsidRPr="00B07091">
        <w:rPr>
          <w:rFonts w:ascii="Times New Roman" w:hAnsi="Times New Roman" w:cs="Times New Roman"/>
        </w:rPr>
        <w:t xml:space="preserve"> is 227 billion individuals</w:t>
      </w:r>
      <w:r w:rsidR="00401F5C" w:rsidRPr="00B07091">
        <w:rPr>
          <w:rFonts w:ascii="Times New Roman" w:hAnsi="Times New Roman" w:cs="Times New Roman"/>
        </w:rPr>
        <w:t>,</w:t>
      </w:r>
      <w:r w:rsidR="00C14C49" w:rsidRPr="00B07091">
        <w:rPr>
          <w:rFonts w:ascii="Times New Roman" w:hAnsi="Times New Roman" w:cs="Times New Roman"/>
        </w:rPr>
        <w:t xml:space="preserve"> data ranging from 14 billion to 1016 billion individuals</w:t>
      </w:r>
      <w:r w:rsidR="00F36DB6" w:rsidRPr="00B07091">
        <w:rPr>
          <w:rFonts w:ascii="Times New Roman" w:hAnsi="Times New Roman" w:cs="Times New Roman"/>
        </w:rPr>
        <w:t>)</w:t>
      </w:r>
      <w:r w:rsidR="00DA274F" w:rsidRPr="00B07091">
        <w:rPr>
          <w:rFonts w:ascii="Times New Roman" w:hAnsi="Times New Roman" w:cs="Times New Roman"/>
        </w:rPr>
        <w:t xml:space="preserve">. In addition, </w:t>
      </w:r>
      <w:r w:rsidR="00DA274F" w:rsidRPr="00B07091">
        <w:rPr>
          <w:rFonts w:ascii="Times New Roman" w:hAnsi="Times New Roman" w:cs="Times New Roman"/>
        </w:rPr>
        <w:lastRenderedPageBreak/>
        <w:t xml:space="preserve">a low capelin abundance </w:t>
      </w:r>
      <w:r w:rsidR="000407E2" w:rsidRPr="00B07091">
        <w:rPr>
          <w:rFonts w:ascii="Times New Roman" w:hAnsi="Times New Roman" w:cs="Times New Roman"/>
        </w:rPr>
        <w:t>has been</w:t>
      </w:r>
      <w:r w:rsidR="00DA274F" w:rsidRPr="00B07091">
        <w:rPr>
          <w:rFonts w:ascii="Times New Roman" w:hAnsi="Times New Roman" w:cs="Times New Roman"/>
        </w:rPr>
        <w:t xml:space="preserve"> associated to high </w:t>
      </w:r>
      <w:r w:rsidR="008B6C04" w:rsidRPr="00B07091">
        <w:rPr>
          <w:rFonts w:ascii="Times New Roman" w:hAnsi="Times New Roman" w:cs="Times New Roman"/>
        </w:rPr>
        <w:t>herring</w:t>
      </w:r>
      <w:r w:rsidR="00DA274F" w:rsidRPr="00B07091">
        <w:rPr>
          <w:rFonts w:ascii="Times New Roman" w:hAnsi="Times New Roman" w:cs="Times New Roman"/>
        </w:rPr>
        <w:t xml:space="preserve"> </w:t>
      </w:r>
      <w:proofErr w:type="spellStart"/>
      <w:r w:rsidR="00DA274F" w:rsidRPr="00B07091">
        <w:rPr>
          <w:rFonts w:ascii="Times New Roman" w:hAnsi="Times New Roman" w:cs="Times New Roman"/>
          <w:i/>
        </w:rPr>
        <w:t>Clupea</w:t>
      </w:r>
      <w:proofErr w:type="spellEnd"/>
      <w:r w:rsidR="00DA274F" w:rsidRPr="00B07091">
        <w:rPr>
          <w:rFonts w:ascii="Times New Roman" w:hAnsi="Times New Roman" w:cs="Times New Roman"/>
          <w:i/>
        </w:rPr>
        <w:t xml:space="preserve"> </w:t>
      </w:r>
      <w:proofErr w:type="spellStart"/>
      <w:r w:rsidR="00DA274F" w:rsidRPr="00B07091">
        <w:rPr>
          <w:rFonts w:ascii="Times New Roman" w:hAnsi="Times New Roman" w:cs="Times New Roman"/>
          <w:i/>
        </w:rPr>
        <w:t>harengus</w:t>
      </w:r>
      <w:proofErr w:type="spellEnd"/>
      <w:r w:rsidR="008B6C04" w:rsidRPr="00B07091">
        <w:rPr>
          <w:rFonts w:ascii="Times New Roman" w:hAnsi="Times New Roman" w:cs="Times New Roman"/>
        </w:rPr>
        <w:t xml:space="preserve"> </w:t>
      </w:r>
      <w:r w:rsidR="00DA274F" w:rsidRPr="00B07091">
        <w:rPr>
          <w:rFonts w:ascii="Times New Roman" w:hAnsi="Times New Roman" w:cs="Times New Roman"/>
        </w:rPr>
        <w:t xml:space="preserve">abundance, </w:t>
      </w:r>
      <w:r w:rsidR="00BE70C1" w:rsidRPr="00B07091">
        <w:rPr>
          <w:rFonts w:ascii="Times New Roman" w:hAnsi="Times New Roman" w:cs="Times New Roman"/>
        </w:rPr>
        <w:t xml:space="preserve">another </w:t>
      </w:r>
      <w:proofErr w:type="gramStart"/>
      <w:r w:rsidR="00DA274F" w:rsidRPr="00B07091">
        <w:rPr>
          <w:rFonts w:ascii="Times New Roman" w:hAnsi="Times New Roman" w:cs="Times New Roman"/>
        </w:rPr>
        <w:t>major</w:t>
      </w:r>
      <w:proofErr w:type="gramEnd"/>
      <w:r w:rsidR="00DA274F" w:rsidRPr="00B07091">
        <w:rPr>
          <w:rFonts w:ascii="Times New Roman" w:hAnsi="Times New Roman" w:cs="Times New Roman"/>
        </w:rPr>
        <w:t xml:space="preserve"> predator of capelin </w:t>
      </w:r>
      <w:r w:rsidR="00BE70C1" w:rsidRPr="00B07091">
        <w:rPr>
          <w:rFonts w:ascii="Times New Roman" w:hAnsi="Times New Roman" w:cs="Times New Roman"/>
        </w:rPr>
        <w:t>larvae in the Barents Sea</w:t>
      </w:r>
      <w:r w:rsidR="00DA274F" w:rsidRPr="00B07091">
        <w:rPr>
          <w:rFonts w:ascii="Times New Roman" w:hAnsi="Times New Roman" w:cs="Times New Roman"/>
        </w:rPr>
        <w:t xml:space="preserve"> </w:t>
      </w:r>
      <w:r w:rsidR="00316D83">
        <w:rPr>
          <w:rFonts w:ascii="Times New Roman" w:hAnsi="Times New Roman" w:cs="Times New Roman"/>
          <w:noProof/>
        </w:rPr>
        <w:t>(35, 41)</w:t>
      </w:r>
      <w:r w:rsidR="00EF70D6" w:rsidRPr="00B07091" w:rsidDel="00EF70D6">
        <w:rPr>
          <w:rFonts w:ascii="Times New Roman" w:hAnsi="Times New Roman" w:cs="Times New Roman"/>
        </w:rPr>
        <w:t xml:space="preserve"> </w:t>
      </w:r>
      <w:r w:rsidR="00BE70C1" w:rsidRPr="00B07091">
        <w:rPr>
          <w:rFonts w:ascii="Times New Roman" w:hAnsi="Times New Roman" w:cs="Times New Roman"/>
        </w:rPr>
        <w:t xml:space="preserve">that is also part of the cod diet </w:t>
      </w:r>
      <w:r w:rsidR="0088704B" w:rsidRPr="00B07091">
        <w:rPr>
          <w:rFonts w:ascii="Times New Roman" w:hAnsi="Times New Roman" w:cs="Times New Roman"/>
          <w:noProof/>
        </w:rPr>
        <w:t>(19, 20)</w:t>
      </w:r>
      <w:r w:rsidR="00BE70C1" w:rsidRPr="00B07091">
        <w:rPr>
          <w:rFonts w:ascii="Times New Roman" w:hAnsi="Times New Roman" w:cs="Times New Roman"/>
        </w:rPr>
        <w:t>.</w:t>
      </w:r>
      <w:r w:rsidR="000407E2" w:rsidRPr="00B07091">
        <w:rPr>
          <w:rFonts w:ascii="Times New Roman" w:hAnsi="Times New Roman" w:cs="Times New Roman"/>
        </w:rPr>
        <w:t xml:space="preserve"> </w:t>
      </w:r>
    </w:p>
    <w:p w14:paraId="4C554E61" w14:textId="43EA4FDB" w:rsidR="001D6D99" w:rsidRPr="00B07091" w:rsidRDefault="001D6D99" w:rsidP="00EB64F3">
      <w:pPr>
        <w:spacing w:after="0" w:line="276" w:lineRule="auto"/>
        <w:ind w:firstLine="708"/>
        <w:rPr>
          <w:rFonts w:ascii="Times New Roman" w:hAnsi="Times New Roman" w:cs="Times New Roman"/>
        </w:rPr>
      </w:pPr>
    </w:p>
    <w:p w14:paraId="5A1176A3" w14:textId="4EB5E92D" w:rsidR="00E65663" w:rsidRPr="00B07091" w:rsidRDefault="00C441D5" w:rsidP="00EB64F3">
      <w:pPr>
        <w:spacing w:after="0" w:line="276" w:lineRule="auto"/>
        <w:ind w:firstLine="708"/>
        <w:rPr>
          <w:rFonts w:ascii="Times New Roman" w:hAnsi="Times New Roman" w:cs="Times New Roman"/>
        </w:rPr>
      </w:pPr>
      <w:r w:rsidRPr="00B07091">
        <w:rPr>
          <w:rFonts w:ascii="Times New Roman" w:hAnsi="Times New Roman" w:cs="Times New Roman"/>
        </w:rPr>
        <w:t>Our</w:t>
      </w:r>
      <w:r w:rsidR="00E65663" w:rsidRPr="00B07091">
        <w:rPr>
          <w:rFonts w:ascii="Times New Roman" w:hAnsi="Times New Roman" w:cs="Times New Roman"/>
        </w:rPr>
        <w:t xml:space="preserve"> model take</w:t>
      </w:r>
      <w:r w:rsidR="00EF1A1A" w:rsidRPr="00B07091">
        <w:rPr>
          <w:rFonts w:ascii="Times New Roman" w:hAnsi="Times New Roman" w:cs="Times New Roman"/>
        </w:rPr>
        <w:t>s</w:t>
      </w:r>
      <w:r w:rsidR="00E65663" w:rsidRPr="00B07091">
        <w:rPr>
          <w:rFonts w:ascii="Times New Roman" w:hAnsi="Times New Roman" w:cs="Times New Roman"/>
        </w:rPr>
        <w:t xml:space="preserve"> into account the main processes</w:t>
      </w:r>
      <w:r w:rsidR="00CE1962" w:rsidRPr="00B07091">
        <w:rPr>
          <w:rFonts w:ascii="Times New Roman" w:hAnsi="Times New Roman" w:cs="Times New Roman"/>
        </w:rPr>
        <w:t xml:space="preserve"> affecting the dynamics of a population</w:t>
      </w:r>
      <w:r w:rsidRPr="00B07091">
        <w:rPr>
          <w:rFonts w:ascii="Times New Roman" w:hAnsi="Times New Roman" w:cs="Times New Roman"/>
        </w:rPr>
        <w:t xml:space="preserve"> i.e.</w:t>
      </w:r>
      <w:r w:rsidR="00E65663" w:rsidRPr="00B07091">
        <w:rPr>
          <w:rFonts w:ascii="Times New Roman" w:hAnsi="Times New Roman" w:cs="Times New Roman"/>
        </w:rPr>
        <w:t xml:space="preserve"> </w:t>
      </w:r>
      <w:r w:rsidR="00EF1A1A" w:rsidRPr="00B07091">
        <w:rPr>
          <w:rFonts w:ascii="Times New Roman" w:hAnsi="Times New Roman" w:cs="Times New Roman"/>
        </w:rPr>
        <w:t xml:space="preserve"> </w:t>
      </w:r>
      <w:proofErr w:type="gramStart"/>
      <w:r w:rsidR="00EF1A1A" w:rsidRPr="00B07091">
        <w:rPr>
          <w:rFonts w:ascii="Times New Roman" w:hAnsi="Times New Roman" w:cs="Times New Roman"/>
        </w:rPr>
        <w:t>inter-specific</w:t>
      </w:r>
      <w:proofErr w:type="gramEnd"/>
      <w:r w:rsidR="00EF1A1A" w:rsidRPr="00B07091">
        <w:rPr>
          <w:rFonts w:ascii="Times New Roman" w:hAnsi="Times New Roman" w:cs="Times New Roman"/>
        </w:rPr>
        <w:t xml:space="preserve"> competition, intra-specific competition (i.e., density dependence), and environmental conditions. However, our model do</w:t>
      </w:r>
      <w:r w:rsidR="008C1233" w:rsidRPr="00B07091">
        <w:rPr>
          <w:rFonts w:ascii="Times New Roman" w:hAnsi="Times New Roman" w:cs="Times New Roman"/>
        </w:rPr>
        <w:t>es</w:t>
      </w:r>
      <w:r w:rsidR="00EF1A1A" w:rsidRPr="00B07091">
        <w:rPr>
          <w:rFonts w:ascii="Times New Roman" w:hAnsi="Times New Roman" w:cs="Times New Roman"/>
        </w:rPr>
        <w:t xml:space="preserve"> not take into account the spatial overlap of the two species that affects their interaction </w:t>
      </w:r>
      <w:r w:rsidR="00316D83">
        <w:rPr>
          <w:rFonts w:ascii="Times New Roman" w:hAnsi="Times New Roman" w:cs="Times New Roman"/>
          <w:noProof/>
        </w:rPr>
        <w:t>(42)</w:t>
      </w:r>
      <w:r w:rsidR="00E60A90" w:rsidRPr="00B07091" w:rsidDel="00E60A90">
        <w:rPr>
          <w:rFonts w:ascii="Times New Roman" w:hAnsi="Times New Roman" w:cs="Times New Roman"/>
        </w:rPr>
        <w:t xml:space="preserve"> </w:t>
      </w:r>
      <w:r w:rsidR="00EF1A1A" w:rsidRPr="00B07091">
        <w:rPr>
          <w:rFonts w:ascii="Times New Roman" w:hAnsi="Times New Roman" w:cs="Times New Roman"/>
        </w:rPr>
        <w:t>neither the effect of the potential interaction with other species</w:t>
      </w:r>
      <w:r w:rsidR="00603EEF" w:rsidRPr="00B07091">
        <w:rPr>
          <w:rFonts w:ascii="Times New Roman" w:hAnsi="Times New Roman" w:cs="Times New Roman"/>
        </w:rPr>
        <w:t xml:space="preserve"> of the system</w:t>
      </w:r>
      <w:r w:rsidR="00EF1A1A" w:rsidRPr="00B07091">
        <w:rPr>
          <w:rFonts w:ascii="Times New Roman" w:hAnsi="Times New Roman" w:cs="Times New Roman"/>
        </w:rPr>
        <w:t xml:space="preserve"> </w:t>
      </w:r>
      <w:r w:rsidR="00316D83">
        <w:rPr>
          <w:rFonts w:ascii="Times New Roman" w:hAnsi="Times New Roman" w:cs="Times New Roman"/>
          <w:noProof/>
        </w:rPr>
        <w:t>(e.g. haddock Melanogrammus aeglefinus 12, herring Clupea harengus 13, Polar cod Boreogadus saida 43)</w:t>
      </w:r>
      <w:r w:rsidR="00EF1A1A" w:rsidRPr="00B07091">
        <w:rPr>
          <w:rFonts w:ascii="Times New Roman" w:hAnsi="Times New Roman" w:cs="Times New Roman"/>
        </w:rPr>
        <w:t xml:space="preserve">. </w:t>
      </w:r>
      <w:r w:rsidR="00E65663" w:rsidRPr="00B07091">
        <w:rPr>
          <w:rFonts w:ascii="Times New Roman" w:hAnsi="Times New Roman" w:cs="Times New Roman"/>
        </w:rPr>
        <w:t xml:space="preserve">These </w:t>
      </w:r>
      <w:r w:rsidR="00EF1A1A" w:rsidRPr="00B07091">
        <w:rPr>
          <w:rFonts w:ascii="Times New Roman" w:hAnsi="Times New Roman" w:cs="Times New Roman"/>
        </w:rPr>
        <w:t>lacking processes are however</w:t>
      </w:r>
      <w:r w:rsidR="00E65663" w:rsidRPr="00B07091">
        <w:rPr>
          <w:rFonts w:ascii="Times New Roman" w:hAnsi="Times New Roman" w:cs="Times New Roman"/>
        </w:rPr>
        <w:t xml:space="preserve"> partially taken into account by the process error</w:t>
      </w:r>
      <w:r w:rsidR="003573D9" w:rsidRPr="00B07091">
        <w:rPr>
          <w:rFonts w:ascii="Times New Roman" w:hAnsi="Times New Roman" w:cs="Times New Roman"/>
        </w:rPr>
        <w:t xml:space="preserve"> in the model formulation</w:t>
      </w:r>
      <w:r w:rsidR="006600F6" w:rsidRPr="00B07091">
        <w:rPr>
          <w:rFonts w:ascii="Times New Roman" w:hAnsi="Times New Roman" w:cs="Times New Roman"/>
        </w:rPr>
        <w:t xml:space="preserve"> </w:t>
      </w:r>
      <w:r w:rsidR="0088704B" w:rsidRPr="00B07091">
        <w:rPr>
          <w:rFonts w:ascii="Times New Roman" w:hAnsi="Times New Roman" w:cs="Times New Roman"/>
          <w:noProof/>
        </w:rPr>
        <w:t>(15)</w:t>
      </w:r>
      <w:r w:rsidR="00F048BA" w:rsidRPr="00B07091" w:rsidDel="00F048BA">
        <w:rPr>
          <w:rFonts w:ascii="Times New Roman" w:hAnsi="Times New Roman" w:cs="Times New Roman"/>
        </w:rPr>
        <w:t xml:space="preserve"> </w:t>
      </w:r>
      <w:r w:rsidR="00B854A4" w:rsidRPr="00B07091">
        <w:rPr>
          <w:rFonts w:ascii="Times New Roman" w:hAnsi="Times New Roman" w:cs="Times New Roman"/>
        </w:rPr>
        <w:t>(see f</w:t>
      </w:r>
      <w:r w:rsidR="00CE1962" w:rsidRPr="00B07091">
        <w:rPr>
          <w:rFonts w:ascii="Times New Roman" w:hAnsi="Times New Roman" w:cs="Times New Roman"/>
        </w:rPr>
        <w:t>ig</w:t>
      </w:r>
      <w:r w:rsidR="007E10A1" w:rsidRPr="00B07091">
        <w:rPr>
          <w:rFonts w:ascii="Times New Roman" w:hAnsi="Times New Roman" w:cs="Times New Roman"/>
        </w:rPr>
        <w:t>ure</w:t>
      </w:r>
      <w:r w:rsidR="00CE1962" w:rsidRPr="00B07091">
        <w:rPr>
          <w:rFonts w:ascii="Times New Roman" w:hAnsi="Times New Roman" w:cs="Times New Roman"/>
        </w:rPr>
        <w:t xml:space="preserve"> </w:t>
      </w:r>
      <w:r w:rsidR="00AD1655" w:rsidRPr="00B07091">
        <w:rPr>
          <w:rFonts w:ascii="Times New Roman" w:hAnsi="Times New Roman" w:cs="Times New Roman"/>
        </w:rPr>
        <w:t>S5</w:t>
      </w:r>
      <w:r w:rsidR="00CE1962" w:rsidRPr="00B07091">
        <w:rPr>
          <w:rFonts w:ascii="Times New Roman" w:hAnsi="Times New Roman" w:cs="Times New Roman"/>
        </w:rPr>
        <w:t>)</w:t>
      </w:r>
      <w:r w:rsidR="00AB3CB0" w:rsidRPr="00B07091">
        <w:rPr>
          <w:rFonts w:ascii="Times New Roman" w:hAnsi="Times New Roman" w:cs="Times New Roman"/>
        </w:rPr>
        <w:t>.</w:t>
      </w:r>
    </w:p>
    <w:p w14:paraId="1E38E83C" w14:textId="77777777" w:rsidR="00E65663" w:rsidRPr="00B07091" w:rsidRDefault="00E65663" w:rsidP="00EB64F3">
      <w:pPr>
        <w:spacing w:after="0" w:line="276" w:lineRule="auto"/>
        <w:ind w:firstLine="708"/>
        <w:rPr>
          <w:rFonts w:ascii="Times New Roman" w:hAnsi="Times New Roman" w:cs="Times New Roman"/>
        </w:rPr>
      </w:pPr>
    </w:p>
    <w:p w14:paraId="0332CA47" w14:textId="5741A5B1" w:rsidR="00047CFD" w:rsidRPr="00B07091" w:rsidRDefault="00D97DD9" w:rsidP="00EB64F3">
      <w:pPr>
        <w:spacing w:after="0" w:line="276" w:lineRule="auto"/>
        <w:ind w:firstLine="708"/>
        <w:rPr>
          <w:rFonts w:ascii="Times New Roman" w:hAnsi="Times New Roman" w:cs="Times New Roman"/>
        </w:rPr>
      </w:pPr>
      <w:r w:rsidRPr="00B07091">
        <w:rPr>
          <w:rFonts w:ascii="Times New Roman" w:hAnsi="Times New Roman" w:cs="Times New Roman"/>
        </w:rPr>
        <w:t xml:space="preserve">In this study, we show that a nonlinearity in the species interactions </w:t>
      </w:r>
      <w:r w:rsidR="001F4DE6" w:rsidRPr="00B07091">
        <w:rPr>
          <w:rFonts w:ascii="Times New Roman" w:hAnsi="Times New Roman" w:cs="Times New Roman"/>
        </w:rPr>
        <w:t>h</w:t>
      </w:r>
      <w:r w:rsidRPr="00B07091">
        <w:rPr>
          <w:rFonts w:ascii="Times New Roman" w:hAnsi="Times New Roman" w:cs="Times New Roman"/>
        </w:rPr>
        <w:t>as an impact on population dynamics and affect</w:t>
      </w:r>
      <w:r w:rsidR="001F4DE6" w:rsidRPr="00B07091">
        <w:rPr>
          <w:rFonts w:ascii="Times New Roman" w:hAnsi="Times New Roman" w:cs="Times New Roman"/>
        </w:rPr>
        <w:t>s</w:t>
      </w:r>
      <w:r w:rsidRPr="00B07091">
        <w:rPr>
          <w:rFonts w:ascii="Times New Roman" w:hAnsi="Times New Roman" w:cs="Times New Roman"/>
        </w:rPr>
        <w:t xml:space="preserve"> our understanding of the functioning of the food chain similar to what was observed for the effect of climate warming </w:t>
      </w:r>
      <w:r w:rsidR="0088704B" w:rsidRPr="00B07091">
        <w:rPr>
          <w:rFonts w:ascii="Times New Roman" w:hAnsi="Times New Roman" w:cs="Times New Roman"/>
          <w:noProof/>
        </w:rPr>
        <w:t>(6, 12)</w:t>
      </w:r>
      <w:r w:rsidRPr="00B07091">
        <w:rPr>
          <w:rFonts w:ascii="Times New Roman" w:hAnsi="Times New Roman" w:cs="Times New Roman"/>
        </w:rPr>
        <w:t>.</w:t>
      </w:r>
      <w:r w:rsidR="00047CFD" w:rsidRPr="00B07091">
        <w:rPr>
          <w:rFonts w:ascii="Times New Roman" w:hAnsi="Times New Roman" w:cs="Times New Roman"/>
        </w:rPr>
        <w:t xml:space="preserve"> </w:t>
      </w:r>
      <w:r w:rsidR="003573D9" w:rsidRPr="00B07091">
        <w:rPr>
          <w:rFonts w:ascii="Times New Roman" w:hAnsi="Times New Roman" w:cs="Times New Roman"/>
        </w:rPr>
        <w:t>Stock assessment are conducted on a single species basis but incorporates more and more some known interaction between the species of interest and climate or other species</w:t>
      </w:r>
      <w:r w:rsidR="00047CFD" w:rsidRPr="00B07091">
        <w:rPr>
          <w:rFonts w:ascii="Times New Roman" w:hAnsi="Times New Roman" w:cs="Times New Roman"/>
        </w:rPr>
        <w:t xml:space="preserve"> </w:t>
      </w:r>
      <w:r w:rsidR="00316D83">
        <w:rPr>
          <w:rFonts w:ascii="Times New Roman" w:hAnsi="Times New Roman" w:cs="Times New Roman"/>
          <w:noProof/>
        </w:rPr>
        <w:t>(44)</w:t>
      </w:r>
      <w:r w:rsidR="00047CFD" w:rsidRPr="00B07091">
        <w:rPr>
          <w:rFonts w:ascii="Times New Roman" w:hAnsi="Times New Roman" w:cs="Times New Roman"/>
        </w:rPr>
        <w:t xml:space="preserve">. </w:t>
      </w:r>
      <w:r w:rsidR="000E21AF" w:rsidRPr="00B07091">
        <w:rPr>
          <w:rFonts w:ascii="Times New Roman" w:hAnsi="Times New Roman" w:cs="Times New Roman"/>
        </w:rPr>
        <w:t xml:space="preserve">For instance, </w:t>
      </w:r>
      <w:r w:rsidR="002934CB" w:rsidRPr="00B07091">
        <w:rPr>
          <w:rFonts w:ascii="Times New Roman" w:hAnsi="Times New Roman" w:cs="Times New Roman"/>
        </w:rPr>
        <w:t>BS</w:t>
      </w:r>
      <w:r w:rsidR="000E21AF" w:rsidRPr="00B07091">
        <w:rPr>
          <w:rFonts w:ascii="Times New Roman" w:hAnsi="Times New Roman" w:cs="Times New Roman"/>
        </w:rPr>
        <w:t xml:space="preserve"> capelin is managed by taking into account the </w:t>
      </w:r>
      <w:r w:rsidR="00EC5D97" w:rsidRPr="00B07091">
        <w:rPr>
          <w:rFonts w:ascii="Times New Roman" w:hAnsi="Times New Roman" w:cs="Times New Roman"/>
        </w:rPr>
        <w:t xml:space="preserve">NEA cod </w:t>
      </w:r>
      <w:r w:rsidR="000E21AF" w:rsidRPr="00B07091">
        <w:rPr>
          <w:rFonts w:ascii="Times New Roman" w:hAnsi="Times New Roman" w:cs="Times New Roman"/>
        </w:rPr>
        <w:t xml:space="preserve">predation </w:t>
      </w:r>
      <w:r w:rsidR="0088704B" w:rsidRPr="00B07091">
        <w:rPr>
          <w:rFonts w:ascii="Times New Roman" w:hAnsi="Times New Roman" w:cs="Times New Roman"/>
          <w:noProof/>
        </w:rPr>
        <w:t>(24)</w:t>
      </w:r>
      <w:r w:rsidR="000E21AF" w:rsidRPr="00B07091">
        <w:rPr>
          <w:rFonts w:ascii="Times New Roman" w:hAnsi="Times New Roman" w:cs="Times New Roman"/>
        </w:rPr>
        <w:t xml:space="preserve">. </w:t>
      </w:r>
      <w:r w:rsidR="00047CFD" w:rsidRPr="00B07091">
        <w:rPr>
          <w:rFonts w:ascii="Times New Roman" w:hAnsi="Times New Roman" w:cs="Times New Roman"/>
        </w:rPr>
        <w:t xml:space="preserve">Given the implication our results can have on the understanding of NEA cod population dynamics, our </w:t>
      </w:r>
      <w:r w:rsidR="00533E11" w:rsidRPr="00B07091">
        <w:rPr>
          <w:rFonts w:ascii="Times New Roman" w:hAnsi="Times New Roman" w:cs="Times New Roman"/>
        </w:rPr>
        <w:t>approach</w:t>
      </w:r>
      <w:r w:rsidR="001228C1" w:rsidRPr="00B07091">
        <w:rPr>
          <w:rFonts w:ascii="Times New Roman" w:hAnsi="Times New Roman" w:cs="Times New Roman"/>
        </w:rPr>
        <w:t xml:space="preserve"> could </w:t>
      </w:r>
      <w:r w:rsidR="00047CFD" w:rsidRPr="00B07091">
        <w:rPr>
          <w:rFonts w:ascii="Times New Roman" w:hAnsi="Times New Roman" w:cs="Times New Roman"/>
        </w:rPr>
        <w:t>be timely and necessary.</w:t>
      </w:r>
    </w:p>
    <w:p w14:paraId="34ABCA91" w14:textId="77777777" w:rsidR="00C33BFF" w:rsidRPr="00B07091" w:rsidRDefault="00C33BFF" w:rsidP="00EB64F3">
      <w:pPr>
        <w:spacing w:after="0" w:line="276" w:lineRule="auto"/>
        <w:ind w:firstLine="708"/>
        <w:rPr>
          <w:rFonts w:ascii="Times New Roman" w:hAnsi="Times New Roman" w:cs="Times New Roman"/>
        </w:rPr>
      </w:pPr>
    </w:p>
    <w:p w14:paraId="1ED2C9B6" w14:textId="40EA7605" w:rsidR="00533E11" w:rsidRPr="00B07091" w:rsidRDefault="00B80C89" w:rsidP="00533E11">
      <w:pPr>
        <w:spacing w:after="0" w:line="276" w:lineRule="auto"/>
      </w:pPr>
      <w:r w:rsidRPr="00B07091">
        <w:rPr>
          <w:rFonts w:ascii="Arial" w:hAnsi="Arial" w:cs="Arial"/>
          <w:color w:val="58BA47"/>
        </w:rPr>
        <w:t>Data accessibility</w:t>
      </w:r>
      <w:r w:rsidRPr="00B07091">
        <w:rPr>
          <w:rFonts w:ascii="AdvOTd67905e7" w:hAnsi="AdvOTd67905e7" w:cs="AdvOTd67905e7"/>
          <w:color w:val="58BA47"/>
        </w:rPr>
        <w:t>.</w:t>
      </w:r>
      <w:r w:rsidRPr="00B07091">
        <w:t xml:space="preserve"> </w:t>
      </w:r>
      <w:r w:rsidR="00E847A2" w:rsidRPr="00B07091">
        <w:t>D</w:t>
      </w:r>
      <w:r w:rsidRPr="00B07091">
        <w:t xml:space="preserve">ata are </w:t>
      </w:r>
      <w:r w:rsidR="00E847A2" w:rsidRPr="00B07091">
        <w:t xml:space="preserve">freely </w:t>
      </w:r>
      <w:r w:rsidRPr="00B07091">
        <w:t xml:space="preserve">available in the </w:t>
      </w:r>
      <w:r w:rsidR="00E847A2" w:rsidRPr="00B07091">
        <w:t>r</w:t>
      </w:r>
      <w:r w:rsidRPr="00B07091">
        <w:t xml:space="preserve">eport of the Arctic Fisheries Working Group (AFWG) 2019 of the International Council for the Exploration of the Sea </w:t>
      </w:r>
      <w:r w:rsidR="0088704B" w:rsidRPr="00B07091">
        <w:rPr>
          <w:noProof/>
        </w:rPr>
        <w:t>(24)</w:t>
      </w:r>
      <w:r w:rsidR="004478C9" w:rsidRPr="00B07091" w:rsidDel="004478C9">
        <w:t xml:space="preserve"> </w:t>
      </w:r>
      <w:r w:rsidRPr="00B07091">
        <w:t xml:space="preserve">at </w:t>
      </w:r>
    </w:p>
    <w:p w14:paraId="0CBF3385" w14:textId="1F0A5822" w:rsidR="00B80C89" w:rsidRPr="00B07091" w:rsidRDefault="00533E11" w:rsidP="00533E11">
      <w:pPr>
        <w:spacing w:after="0" w:line="276" w:lineRule="auto"/>
      </w:pPr>
      <w:r w:rsidRPr="00B07091">
        <w:t>https://ices-library.figshare.com/articles/report/Arctic_Fisheries_Working_Group_AFWG_/18618752?file=33397001</w:t>
      </w:r>
      <w:r w:rsidR="00B80C89" w:rsidRPr="00B07091">
        <w:t xml:space="preserve">; </w:t>
      </w:r>
      <w:proofErr w:type="spellStart"/>
      <w:r w:rsidR="00B80C89" w:rsidRPr="00B07091">
        <w:t>wNAO</w:t>
      </w:r>
      <w:proofErr w:type="spellEnd"/>
      <w:r w:rsidR="00B80C89" w:rsidRPr="00B07091">
        <w:t xml:space="preserve"> at https://climatedataguide.ucar.edu/climate-data/hurrell-north-atlantic-oscillation-nao-index-station-based. Kola sea temperature from Polar branch of the Russian Federal Institute of Fisheries and Oceanography at http://www.pinro.ru/ </w:t>
      </w:r>
      <w:r w:rsidR="00316D83">
        <w:rPr>
          <w:noProof/>
        </w:rPr>
        <w:t>(45)</w:t>
      </w:r>
      <w:r w:rsidR="00B80C89" w:rsidRPr="00B07091">
        <w:t xml:space="preserve">. </w:t>
      </w:r>
    </w:p>
    <w:p w14:paraId="1E2831F0" w14:textId="2547CF8E" w:rsidR="00B80C89" w:rsidRPr="00B07091" w:rsidRDefault="00B80C89" w:rsidP="00EB64F3">
      <w:pPr>
        <w:spacing w:after="0" w:line="276" w:lineRule="auto"/>
      </w:pPr>
      <w:r w:rsidRPr="00B07091">
        <w:rPr>
          <w:rFonts w:ascii="Arial" w:hAnsi="Arial" w:cs="Arial"/>
          <w:color w:val="58BA47"/>
        </w:rPr>
        <w:t>Authors’ contributions.</w:t>
      </w:r>
      <w:r w:rsidRPr="00B07091">
        <w:t xml:space="preserve"> J.D. designed, </w:t>
      </w:r>
      <w:r w:rsidR="00EC5D97" w:rsidRPr="00B07091">
        <w:t xml:space="preserve">conceived, </w:t>
      </w:r>
      <w:r w:rsidRPr="00B07091">
        <w:t xml:space="preserve">and led the analysis with </w:t>
      </w:r>
      <w:r w:rsidR="00EC5D97" w:rsidRPr="00B07091">
        <w:t xml:space="preserve">contributions </w:t>
      </w:r>
      <w:r w:rsidRPr="00B07091">
        <w:t xml:space="preserve">from K.O. and Ø.L. All authors discussed the </w:t>
      </w:r>
      <w:r w:rsidR="00EC5D97" w:rsidRPr="00B07091">
        <w:t xml:space="preserve">findings </w:t>
      </w:r>
      <w:r w:rsidRPr="00B07091">
        <w:t xml:space="preserve">and </w:t>
      </w:r>
      <w:r w:rsidR="00EC5D97" w:rsidRPr="00B07091">
        <w:t xml:space="preserve">provided feedbacks on </w:t>
      </w:r>
      <w:r w:rsidRPr="00B07091">
        <w:t>the manuscript</w:t>
      </w:r>
      <w:r w:rsidR="00EC5D97" w:rsidRPr="00B07091">
        <w:t>’s</w:t>
      </w:r>
      <w:r w:rsidRPr="00B07091">
        <w:t xml:space="preserve"> analysis, interpretation and writing.</w:t>
      </w:r>
    </w:p>
    <w:p w14:paraId="071075A5" w14:textId="3D92E554" w:rsidR="00B80C89" w:rsidRPr="00B07091" w:rsidRDefault="00B80C89" w:rsidP="00EB64F3">
      <w:pPr>
        <w:spacing w:after="0" w:line="276" w:lineRule="auto"/>
      </w:pPr>
      <w:r w:rsidRPr="00B07091">
        <w:rPr>
          <w:rFonts w:ascii="Arial" w:hAnsi="Arial" w:cs="Arial"/>
          <w:color w:val="58BA47"/>
        </w:rPr>
        <w:t>Competing interests.</w:t>
      </w:r>
      <w:r w:rsidRPr="00B07091">
        <w:t xml:space="preserve"> We</w:t>
      </w:r>
      <w:r w:rsidR="00081796" w:rsidRPr="00B07091">
        <w:t xml:space="preserve"> </w:t>
      </w:r>
      <w:r w:rsidRPr="00B07091">
        <w:t>have no competing interests.</w:t>
      </w:r>
    </w:p>
    <w:p w14:paraId="1D7DE9ED" w14:textId="77777777" w:rsidR="00B80C89" w:rsidRPr="00B07091" w:rsidDel="003522B6" w:rsidRDefault="00B80C89" w:rsidP="00EB64F3">
      <w:pPr>
        <w:spacing w:after="0" w:line="276" w:lineRule="auto"/>
      </w:pPr>
      <w:r w:rsidRPr="00B07091">
        <w:rPr>
          <w:rFonts w:ascii="Arial" w:hAnsi="Arial" w:cs="Arial"/>
          <w:color w:val="58BA47"/>
        </w:rPr>
        <w:t>Funding.</w:t>
      </w:r>
      <w:r w:rsidRPr="00B07091">
        <w:t xml:space="preserve"> The Research Council of Norway through the projects: Nansen Legacy (276730) and FISHCOM (</w:t>
      </w:r>
      <w:r w:rsidRPr="00B07091">
        <w:rPr>
          <w:color w:val="373426"/>
        </w:rPr>
        <w:t>280467</w:t>
      </w:r>
      <w:r w:rsidRPr="00B07091">
        <w:t>).</w:t>
      </w:r>
    </w:p>
    <w:p w14:paraId="0283D84E" w14:textId="77777777" w:rsidR="00B80C89" w:rsidRPr="00B07091" w:rsidRDefault="00B80C89" w:rsidP="00B80C89">
      <w:pPr>
        <w:spacing w:after="0" w:line="240" w:lineRule="auto"/>
        <w:ind w:firstLine="720"/>
      </w:pPr>
    </w:p>
    <w:p w14:paraId="699ADB3A" w14:textId="77777777" w:rsidR="00B80C89" w:rsidRPr="00B07091" w:rsidRDefault="00B80C89" w:rsidP="00B80C89">
      <w:pPr>
        <w:spacing w:after="0"/>
      </w:pPr>
    </w:p>
    <w:p w14:paraId="0B770D3E" w14:textId="10D7C3D5" w:rsidR="006850F0" w:rsidRPr="006850F0" w:rsidRDefault="006850F0" w:rsidP="006850F0">
      <w:pPr>
        <w:pStyle w:val="EndNoteBibliography"/>
        <w:spacing w:after="0"/>
        <w:rPr>
          <w:noProof/>
        </w:rPr>
      </w:pPr>
      <w:r w:rsidRPr="006850F0">
        <w:rPr>
          <w:noProof/>
        </w:rPr>
        <w:t>1.</w:t>
      </w:r>
      <w:r w:rsidRPr="006850F0">
        <w:rPr>
          <w:noProof/>
        </w:rPr>
        <w:tab/>
        <w:t>Hoegh-Guldberg O, Bruno JF. The Impact of Climate Change on the World's Marine Ecosystems. Science. 2010;328(5985):1523-8.</w:t>
      </w:r>
    </w:p>
    <w:p w14:paraId="62C6B876" w14:textId="77777777" w:rsidR="006850F0" w:rsidRPr="006850F0" w:rsidRDefault="006850F0" w:rsidP="006850F0">
      <w:pPr>
        <w:pStyle w:val="EndNoteBibliography"/>
        <w:spacing w:after="0"/>
        <w:rPr>
          <w:noProof/>
        </w:rPr>
      </w:pPr>
      <w:r w:rsidRPr="006850F0">
        <w:rPr>
          <w:noProof/>
        </w:rPr>
        <w:t>2.</w:t>
      </w:r>
      <w:r w:rsidRPr="006850F0">
        <w:rPr>
          <w:noProof/>
        </w:rPr>
        <w:tab/>
        <w:t>Ockendon N, Baker DJ, Carr JA, White EC, Almond REA, Amano T, et al. Mechanisms underpinning climatic impacts on natural populations: altered species interactions are more important than direct effects. Glob Change Biol. 2014;20(7):2221-9.</w:t>
      </w:r>
    </w:p>
    <w:p w14:paraId="578CAD6F" w14:textId="77777777" w:rsidR="006850F0" w:rsidRPr="006850F0" w:rsidRDefault="006850F0" w:rsidP="006850F0">
      <w:pPr>
        <w:pStyle w:val="EndNoteBibliography"/>
        <w:spacing w:after="0"/>
        <w:rPr>
          <w:noProof/>
        </w:rPr>
      </w:pPr>
      <w:r w:rsidRPr="006850F0">
        <w:rPr>
          <w:noProof/>
        </w:rPr>
        <w:t>3.</w:t>
      </w:r>
      <w:r w:rsidRPr="006850F0">
        <w:rPr>
          <w:noProof/>
        </w:rPr>
        <w:tab/>
        <w:t>Stige LC, Ono K, Eriksen E, Dalpadado P. Direct and indirect effects of sea ice cover on major zooplankton groups and planktivorous fishes in the Barents Sea. ICES J Mar Sci. 2019;76(1):24-36.</w:t>
      </w:r>
    </w:p>
    <w:p w14:paraId="3911466F" w14:textId="77777777" w:rsidR="006850F0" w:rsidRPr="006850F0" w:rsidRDefault="006850F0" w:rsidP="006850F0">
      <w:pPr>
        <w:pStyle w:val="EndNoteBibliography"/>
        <w:spacing w:after="0"/>
        <w:rPr>
          <w:noProof/>
        </w:rPr>
      </w:pPr>
      <w:r w:rsidRPr="006850F0">
        <w:rPr>
          <w:noProof/>
        </w:rPr>
        <w:t>4.</w:t>
      </w:r>
      <w:r w:rsidRPr="006850F0">
        <w:rPr>
          <w:noProof/>
        </w:rPr>
        <w:tab/>
        <w:t>Stenseth NC, Durant JM, Fowler MS, Matthysen E, Adriaensen F, Jonzén N, et al. Testing for effects of climate change on competitive relationships and coexistence between two bird species. Proc R Soc B. 2015;282(1807).</w:t>
      </w:r>
    </w:p>
    <w:p w14:paraId="31E43CFB" w14:textId="77777777" w:rsidR="006850F0" w:rsidRPr="006850F0" w:rsidRDefault="006850F0" w:rsidP="006850F0">
      <w:pPr>
        <w:pStyle w:val="EndNoteBibliography"/>
        <w:spacing w:after="0"/>
        <w:rPr>
          <w:noProof/>
        </w:rPr>
      </w:pPr>
      <w:r w:rsidRPr="006850F0">
        <w:rPr>
          <w:noProof/>
        </w:rPr>
        <w:t>5.</w:t>
      </w:r>
      <w:r w:rsidRPr="006850F0">
        <w:rPr>
          <w:noProof/>
        </w:rPr>
        <w:tab/>
        <w:t>Stenseth NC, Chan KS, Tavecchia G, Coulson T, Mysterud A, Clutton-Brock T, et al. Modelling non-additive and nonlinear signals from climatic noise in ecological time series: Soay sheep as an example. Proceedings of the Royal Society B-Biological Sciences. 2004;271(1552):1985-93.</w:t>
      </w:r>
    </w:p>
    <w:p w14:paraId="592F288D" w14:textId="77777777" w:rsidR="006850F0" w:rsidRPr="006850F0" w:rsidRDefault="006850F0" w:rsidP="006850F0">
      <w:pPr>
        <w:pStyle w:val="EndNoteBibliography"/>
        <w:spacing w:after="0"/>
        <w:rPr>
          <w:noProof/>
        </w:rPr>
      </w:pPr>
      <w:r w:rsidRPr="006850F0">
        <w:rPr>
          <w:noProof/>
        </w:rPr>
        <w:lastRenderedPageBreak/>
        <w:t>6.</w:t>
      </w:r>
      <w:r w:rsidRPr="006850F0">
        <w:rPr>
          <w:noProof/>
        </w:rPr>
        <w:tab/>
        <w:t>Ciannelli L, Fisher JAD, Skern-Mauritzen M, Hunsicker ME, Hidalgo M, Frank KT, et al. Theory, consequences and evidence of eroding population spatial structure in harvested marine fishes: a review. Mar Ecol Progr Ser. 2013;480:227-43.</w:t>
      </w:r>
    </w:p>
    <w:p w14:paraId="33374BF5" w14:textId="77777777" w:rsidR="006850F0" w:rsidRPr="006850F0" w:rsidRDefault="006850F0" w:rsidP="006850F0">
      <w:pPr>
        <w:pStyle w:val="EndNoteBibliography"/>
        <w:spacing w:after="0"/>
        <w:rPr>
          <w:noProof/>
        </w:rPr>
      </w:pPr>
      <w:r w:rsidRPr="006850F0">
        <w:rPr>
          <w:noProof/>
        </w:rPr>
        <w:t>7.</w:t>
      </w:r>
      <w:r w:rsidRPr="006850F0">
        <w:rPr>
          <w:noProof/>
        </w:rPr>
        <w:tab/>
        <w:t>Dingsør GE, Ciannelli L, Chan KS, Ottersen G, Stenseth NC. Density dependence and density independence during the early life stages of four marine fish stocks. Ecology. 2007;88(3):625-34.</w:t>
      </w:r>
    </w:p>
    <w:p w14:paraId="2A979A8B" w14:textId="77777777" w:rsidR="006850F0" w:rsidRPr="006850F0" w:rsidRDefault="006850F0" w:rsidP="006850F0">
      <w:pPr>
        <w:pStyle w:val="EndNoteBibliography"/>
        <w:spacing w:after="0"/>
        <w:rPr>
          <w:noProof/>
        </w:rPr>
      </w:pPr>
      <w:r w:rsidRPr="006850F0">
        <w:rPr>
          <w:noProof/>
        </w:rPr>
        <w:t>8.</w:t>
      </w:r>
      <w:r w:rsidRPr="006850F0">
        <w:rPr>
          <w:noProof/>
        </w:rPr>
        <w:tab/>
        <w:t>Llope M, Daskalov GM, Rouyer TA, Mihneva V, Chan KS, Grishin AN, et al. Overfishing of top predators eroded the resilience of the Black Sea system regardless of the climate and anthropogenic conditions. Glob Change Biol. 2011;17(3):1251-65.</w:t>
      </w:r>
    </w:p>
    <w:p w14:paraId="7858D3A1" w14:textId="77777777" w:rsidR="006850F0" w:rsidRPr="006850F0" w:rsidRDefault="006850F0" w:rsidP="006850F0">
      <w:pPr>
        <w:pStyle w:val="EndNoteBibliography"/>
        <w:spacing w:after="0"/>
        <w:rPr>
          <w:noProof/>
        </w:rPr>
      </w:pPr>
      <w:r w:rsidRPr="006850F0">
        <w:rPr>
          <w:noProof/>
        </w:rPr>
        <w:t>9.</w:t>
      </w:r>
      <w:r w:rsidRPr="006850F0">
        <w:rPr>
          <w:noProof/>
        </w:rPr>
        <w:tab/>
        <w:t>Lindegren M, Checkley Jr DM, Koslow JA, Goericke R, Ohman MD. Climate-mediated changes in marine ecosystem regulation during El Niño. Glob Change Biol. 2018;24(2):796-809.</w:t>
      </w:r>
    </w:p>
    <w:p w14:paraId="5EC240D7" w14:textId="77777777" w:rsidR="006850F0" w:rsidRPr="006850F0" w:rsidRDefault="006850F0" w:rsidP="006850F0">
      <w:pPr>
        <w:pStyle w:val="EndNoteBibliography"/>
        <w:spacing w:after="0"/>
        <w:rPr>
          <w:noProof/>
        </w:rPr>
      </w:pPr>
      <w:r w:rsidRPr="006850F0">
        <w:rPr>
          <w:noProof/>
        </w:rPr>
        <w:t>10.</w:t>
      </w:r>
      <w:r w:rsidRPr="006850F0">
        <w:rPr>
          <w:noProof/>
        </w:rPr>
        <w:tab/>
        <w:t>Vasilakopoulos P, Marshall CT. Resilience and tipping points of an exploited fish population over six decades. Glob Change Biol. 2015;21(5):1834-47.</w:t>
      </w:r>
    </w:p>
    <w:p w14:paraId="3AF7414B" w14:textId="77777777" w:rsidR="006850F0" w:rsidRPr="006850F0" w:rsidRDefault="006850F0" w:rsidP="006850F0">
      <w:pPr>
        <w:pStyle w:val="EndNoteBibliography"/>
        <w:spacing w:after="0"/>
        <w:rPr>
          <w:noProof/>
        </w:rPr>
      </w:pPr>
      <w:r w:rsidRPr="006850F0">
        <w:rPr>
          <w:noProof/>
        </w:rPr>
        <w:t>11.</w:t>
      </w:r>
      <w:r w:rsidRPr="006850F0">
        <w:rPr>
          <w:noProof/>
        </w:rPr>
        <w:tab/>
        <w:t>Sguotti C, Otto SA, Frelat R, Langbehn TJ, Plambech Ryberg M, Lindegren M, et al. Catastrophic dynamics limit Atlantic cod recovery. Proceedings of the Royal Society B: Biological Sciences. 2019;286(1898):20182877.</w:t>
      </w:r>
    </w:p>
    <w:p w14:paraId="7CB5FCF4" w14:textId="77777777" w:rsidR="006850F0" w:rsidRPr="006850F0" w:rsidRDefault="006850F0" w:rsidP="006850F0">
      <w:pPr>
        <w:pStyle w:val="EndNoteBibliography"/>
        <w:spacing w:after="0"/>
        <w:rPr>
          <w:noProof/>
        </w:rPr>
      </w:pPr>
      <w:r w:rsidRPr="006850F0">
        <w:rPr>
          <w:noProof/>
        </w:rPr>
        <w:t>12.</w:t>
      </w:r>
      <w:r w:rsidRPr="006850F0">
        <w:rPr>
          <w:noProof/>
        </w:rPr>
        <w:tab/>
        <w:t>Durant JM, Ono K, Stenseth NC, Langangen Ø. Non-linearity in interspecific interactions in response to climate change: cod and haddock as an example. Glob Change Biol. 2020;26:5554– 63.</w:t>
      </w:r>
    </w:p>
    <w:p w14:paraId="64F35590" w14:textId="77777777" w:rsidR="006850F0" w:rsidRPr="006850F0" w:rsidRDefault="006850F0" w:rsidP="006850F0">
      <w:pPr>
        <w:pStyle w:val="EndNoteBibliography"/>
        <w:spacing w:after="0"/>
        <w:rPr>
          <w:noProof/>
        </w:rPr>
      </w:pPr>
      <w:r w:rsidRPr="006850F0">
        <w:rPr>
          <w:noProof/>
        </w:rPr>
        <w:t>13.</w:t>
      </w:r>
      <w:r w:rsidRPr="006850F0">
        <w:rPr>
          <w:noProof/>
        </w:rPr>
        <w:tab/>
        <w:t>Durant JM, Aarvold L, Langangen Ø. Stock collapse and its effect on species interactions: Cod and herring in the Norwegian-Barents Seas system as an example. Ecology and Evolution. 2021;11(23):16993-7004.</w:t>
      </w:r>
    </w:p>
    <w:p w14:paraId="73F9675B" w14:textId="77777777" w:rsidR="006850F0" w:rsidRPr="006850F0" w:rsidRDefault="006850F0" w:rsidP="006850F0">
      <w:pPr>
        <w:pStyle w:val="EndNoteBibliography"/>
        <w:spacing w:after="0"/>
        <w:rPr>
          <w:noProof/>
        </w:rPr>
      </w:pPr>
      <w:r w:rsidRPr="006850F0">
        <w:rPr>
          <w:noProof/>
        </w:rPr>
        <w:t>14.</w:t>
      </w:r>
      <w:r w:rsidRPr="006850F0">
        <w:rPr>
          <w:noProof/>
        </w:rPr>
        <w:tab/>
        <w:t>Frank KT, Petrie B, Fisher JAD, Leggett WC. Transient dynamics of an altered large marine ecosystem. Nature. 2011;477:86-9.</w:t>
      </w:r>
    </w:p>
    <w:p w14:paraId="6F910092" w14:textId="77777777" w:rsidR="006850F0" w:rsidRPr="006850F0" w:rsidRDefault="006850F0" w:rsidP="006850F0">
      <w:pPr>
        <w:pStyle w:val="EndNoteBibliography"/>
        <w:spacing w:after="0"/>
        <w:rPr>
          <w:noProof/>
        </w:rPr>
      </w:pPr>
      <w:r w:rsidRPr="006850F0">
        <w:rPr>
          <w:noProof/>
        </w:rPr>
        <w:t>15.</w:t>
      </w:r>
      <w:r w:rsidRPr="006850F0">
        <w:rPr>
          <w:noProof/>
        </w:rPr>
        <w:tab/>
        <w:t>Wootton JT, Emmerson M. Measurement of Interaction Strength in Nature. Annual Review of Ecology, Evolution, and Systematics. 2005;36:419-44.</w:t>
      </w:r>
    </w:p>
    <w:p w14:paraId="6F1FBF03" w14:textId="77777777" w:rsidR="006850F0" w:rsidRPr="006850F0" w:rsidRDefault="006850F0" w:rsidP="006850F0">
      <w:pPr>
        <w:pStyle w:val="EndNoteBibliography"/>
        <w:spacing w:after="0"/>
        <w:rPr>
          <w:noProof/>
        </w:rPr>
      </w:pPr>
      <w:r w:rsidRPr="006850F0">
        <w:rPr>
          <w:noProof/>
        </w:rPr>
        <w:t>16.</w:t>
      </w:r>
      <w:r w:rsidRPr="006850F0">
        <w:rPr>
          <w:noProof/>
        </w:rPr>
        <w:tab/>
        <w:t>Ono K, Langangen Ø, Stenseth NC. Improving risk assessments in conservation ecology. Nature Communications. 2019;10(1):2836.</w:t>
      </w:r>
    </w:p>
    <w:p w14:paraId="1C0BAEE1" w14:textId="77777777" w:rsidR="006850F0" w:rsidRPr="006850F0" w:rsidRDefault="006850F0" w:rsidP="006850F0">
      <w:pPr>
        <w:pStyle w:val="EndNoteBibliography"/>
        <w:spacing w:after="0"/>
        <w:rPr>
          <w:noProof/>
        </w:rPr>
      </w:pPr>
      <w:r w:rsidRPr="006850F0">
        <w:rPr>
          <w:noProof/>
        </w:rPr>
        <w:t>17.</w:t>
      </w:r>
      <w:r w:rsidRPr="006850F0">
        <w:rPr>
          <w:noProof/>
        </w:rPr>
        <w:tab/>
        <w:t>Paasche O, Osterblom H, Neuenfeldt S, Bonsdorff E, Brander K, Conley DJ, et al. Connecting the Seas of Norden. Nature Climate Change. 2015;5(2):89-92.</w:t>
      </w:r>
    </w:p>
    <w:p w14:paraId="73EA5474" w14:textId="77777777" w:rsidR="006850F0" w:rsidRPr="006850F0" w:rsidRDefault="006850F0" w:rsidP="006850F0">
      <w:pPr>
        <w:pStyle w:val="EndNoteBibliography"/>
        <w:spacing w:after="0"/>
        <w:rPr>
          <w:noProof/>
        </w:rPr>
      </w:pPr>
      <w:r w:rsidRPr="006850F0">
        <w:rPr>
          <w:noProof/>
        </w:rPr>
        <w:t>18.</w:t>
      </w:r>
      <w:r w:rsidRPr="006850F0">
        <w:rPr>
          <w:noProof/>
        </w:rPr>
        <w:tab/>
        <w:t>Lilly GR, Nakken O, Brattey J. A review of the contributions of fisheries and climate variability to contrasting dynamics in two Arcto-boreal Atlantic cod (</w:t>
      </w:r>
      <w:r w:rsidRPr="006850F0">
        <w:rPr>
          <w:i/>
          <w:noProof/>
        </w:rPr>
        <w:t>Gadus morhua</w:t>
      </w:r>
      <w:r w:rsidRPr="006850F0">
        <w:rPr>
          <w:noProof/>
        </w:rPr>
        <w:t>) stocks: Persistent high productivity in the Barents Sea and collapse on the Newfoundland and Labrador Shelf. Prog Oceanogr. 2013;114:106-25.</w:t>
      </w:r>
    </w:p>
    <w:p w14:paraId="1D4A8CCF" w14:textId="77777777" w:rsidR="006850F0" w:rsidRPr="006850F0" w:rsidRDefault="006850F0" w:rsidP="006850F0">
      <w:pPr>
        <w:pStyle w:val="EndNoteBibliography"/>
        <w:spacing w:after="0"/>
        <w:rPr>
          <w:noProof/>
        </w:rPr>
      </w:pPr>
      <w:r w:rsidRPr="006850F0">
        <w:rPr>
          <w:noProof/>
        </w:rPr>
        <w:t>19.</w:t>
      </w:r>
      <w:r w:rsidRPr="006850F0">
        <w:rPr>
          <w:noProof/>
        </w:rPr>
        <w:tab/>
        <w:t>Townhill BL, Holt RE, Bogstad B, Durant JM, Pinnegar JK, Dolgov AV, et al. Diets of the Barents Sea cod (</w:t>
      </w:r>
      <w:r w:rsidRPr="006850F0">
        <w:rPr>
          <w:i/>
          <w:noProof/>
        </w:rPr>
        <w:t>Gadus morhua</w:t>
      </w:r>
      <w:r w:rsidRPr="006850F0">
        <w:rPr>
          <w:noProof/>
        </w:rPr>
        <w:t>) from the 1930s to 2018. Earth Syst Sci Data. 2021;13(3):1361-70.</w:t>
      </w:r>
    </w:p>
    <w:p w14:paraId="172F3D0A" w14:textId="77777777" w:rsidR="006850F0" w:rsidRPr="006850F0" w:rsidRDefault="006850F0" w:rsidP="006850F0">
      <w:pPr>
        <w:pStyle w:val="EndNoteBibliography"/>
        <w:spacing w:after="0"/>
        <w:rPr>
          <w:noProof/>
        </w:rPr>
      </w:pPr>
      <w:r w:rsidRPr="006850F0">
        <w:rPr>
          <w:noProof/>
        </w:rPr>
        <w:t>20.</w:t>
      </w:r>
      <w:r w:rsidRPr="006850F0">
        <w:rPr>
          <w:noProof/>
        </w:rPr>
        <w:tab/>
        <w:t>Holt RE, Bogstad B, Durant JM, Dolgov AV, Ottersen G. Barents Sea cod (</w:t>
      </w:r>
      <w:r w:rsidRPr="006850F0">
        <w:rPr>
          <w:i/>
          <w:noProof/>
        </w:rPr>
        <w:t>Gadus morhua</w:t>
      </w:r>
      <w:r w:rsidRPr="006850F0">
        <w:rPr>
          <w:noProof/>
        </w:rPr>
        <w:t>) diet composition: long-term interannual, seasonal, and ontogenetic patterns. ICES J Mar Sci. 2019;76(6):1641-52.</w:t>
      </w:r>
    </w:p>
    <w:p w14:paraId="59FD6A3D" w14:textId="77777777" w:rsidR="006850F0" w:rsidRPr="006850F0" w:rsidRDefault="006850F0" w:rsidP="006850F0">
      <w:pPr>
        <w:pStyle w:val="EndNoteBibliography"/>
        <w:spacing w:after="0"/>
        <w:rPr>
          <w:noProof/>
        </w:rPr>
      </w:pPr>
      <w:r w:rsidRPr="006850F0">
        <w:rPr>
          <w:noProof/>
        </w:rPr>
        <w:t>21.</w:t>
      </w:r>
      <w:r w:rsidRPr="006850F0">
        <w:rPr>
          <w:noProof/>
        </w:rPr>
        <w:tab/>
        <w:t>Hjermann DØ, Ottersen G, Stenseth NC. Competition among fishermen and fish causes the collapse of Barents Sea capelin. Proc Natl Acad Sci U S A. 2004;101(32):11679-84.</w:t>
      </w:r>
    </w:p>
    <w:p w14:paraId="02F684B6" w14:textId="77777777" w:rsidR="006850F0" w:rsidRPr="006850F0" w:rsidRDefault="006850F0" w:rsidP="006850F0">
      <w:pPr>
        <w:pStyle w:val="EndNoteBibliography"/>
        <w:spacing w:after="0"/>
        <w:rPr>
          <w:noProof/>
        </w:rPr>
      </w:pPr>
      <w:r w:rsidRPr="006850F0">
        <w:rPr>
          <w:noProof/>
        </w:rPr>
        <w:t>22.</w:t>
      </w:r>
      <w:r w:rsidRPr="006850F0">
        <w:rPr>
          <w:noProof/>
        </w:rPr>
        <w:tab/>
        <w:t>Hjermann DØ, Bogstad B, Eikeset AM, Ottersen G, Gjosaeter H, Stenseth NC. Food web dynamics affect Northeast Arctic cod recruitment. Proceedings of the Royal Society B-Biological Sciences. 2007;274(1610):661-9.</w:t>
      </w:r>
    </w:p>
    <w:p w14:paraId="345C0C05" w14:textId="77777777" w:rsidR="006850F0" w:rsidRPr="006850F0" w:rsidRDefault="006850F0" w:rsidP="006850F0">
      <w:pPr>
        <w:pStyle w:val="EndNoteBibliography"/>
        <w:spacing w:after="0"/>
        <w:rPr>
          <w:noProof/>
        </w:rPr>
      </w:pPr>
      <w:r w:rsidRPr="006850F0">
        <w:rPr>
          <w:noProof/>
        </w:rPr>
        <w:t>23.</w:t>
      </w:r>
      <w:r w:rsidRPr="006850F0">
        <w:rPr>
          <w:noProof/>
        </w:rPr>
        <w:tab/>
        <w:t>Durant JM, Hjermann DØ. Age-structure, harvesting and climate effects on population growth of Arcto-boreal fish stocks. Mar Ecol Prog Ser. 2017;577:177-88.</w:t>
      </w:r>
    </w:p>
    <w:p w14:paraId="23127BB1" w14:textId="77777777" w:rsidR="006850F0" w:rsidRPr="006850F0" w:rsidRDefault="006850F0" w:rsidP="006850F0">
      <w:pPr>
        <w:pStyle w:val="EndNoteBibliography"/>
        <w:spacing w:after="0"/>
        <w:rPr>
          <w:noProof/>
        </w:rPr>
      </w:pPr>
      <w:r w:rsidRPr="006850F0">
        <w:rPr>
          <w:noProof/>
        </w:rPr>
        <w:t>24.</w:t>
      </w:r>
      <w:r w:rsidRPr="006850F0">
        <w:rPr>
          <w:noProof/>
        </w:rPr>
        <w:tab/>
        <w:t>ICES. Arctic Fisheries Working Group (AFWG). ICES Scientific Reports. 2019;01(30):pp 934.</w:t>
      </w:r>
    </w:p>
    <w:p w14:paraId="3EF5632C" w14:textId="77777777" w:rsidR="006850F0" w:rsidRPr="006850F0" w:rsidRDefault="006850F0" w:rsidP="006850F0">
      <w:pPr>
        <w:pStyle w:val="EndNoteBibliography"/>
        <w:spacing w:after="0"/>
        <w:rPr>
          <w:noProof/>
        </w:rPr>
      </w:pPr>
      <w:r w:rsidRPr="006850F0">
        <w:rPr>
          <w:noProof/>
        </w:rPr>
        <w:t>25.</w:t>
      </w:r>
      <w:r w:rsidRPr="006850F0">
        <w:rPr>
          <w:noProof/>
        </w:rPr>
        <w:tab/>
        <w:t>Ingvaldsen R, Loeng H, Ådlandsvik B, Ottersen G. Climate variability in the Barents Sea during the 20th century with focus on the 1990s. ICES Marine Science Symposia. 2003;219:160- 8.</w:t>
      </w:r>
    </w:p>
    <w:p w14:paraId="3F229F41" w14:textId="77777777" w:rsidR="006850F0" w:rsidRPr="006850F0" w:rsidRDefault="006850F0" w:rsidP="006850F0">
      <w:pPr>
        <w:pStyle w:val="EndNoteBibliography"/>
        <w:spacing w:after="0"/>
        <w:rPr>
          <w:noProof/>
        </w:rPr>
      </w:pPr>
      <w:r w:rsidRPr="006850F0">
        <w:rPr>
          <w:noProof/>
        </w:rPr>
        <w:t>26.</w:t>
      </w:r>
      <w:r w:rsidRPr="006850F0">
        <w:rPr>
          <w:noProof/>
        </w:rPr>
        <w:tab/>
        <w:t>Hurrell JW, Deser C. North Atlantic climate variability: The role of the North Atlantic Oscillation. J Mar Syst. 2009;78(1):28-41.</w:t>
      </w:r>
    </w:p>
    <w:p w14:paraId="4B0D9D80" w14:textId="77777777" w:rsidR="006850F0" w:rsidRPr="006850F0" w:rsidRDefault="006850F0" w:rsidP="006850F0">
      <w:pPr>
        <w:pStyle w:val="EndNoteBibliography"/>
        <w:spacing w:after="0"/>
        <w:rPr>
          <w:noProof/>
        </w:rPr>
      </w:pPr>
      <w:r w:rsidRPr="006850F0">
        <w:rPr>
          <w:noProof/>
        </w:rPr>
        <w:t>27.</w:t>
      </w:r>
      <w:r w:rsidRPr="006850F0">
        <w:rPr>
          <w:noProof/>
        </w:rPr>
        <w:tab/>
        <w:t>Stenseth NC, Durant JM, Fowler MS, Matthysen E, Adriaensen F, Jonzén N, et al. Testing for effects of climate change on competitive relationships and coexistence between two bird species. Proceedings of the Royal Society B-Biological Sciences. 2015;282(1807):20141958.</w:t>
      </w:r>
    </w:p>
    <w:p w14:paraId="5618762C" w14:textId="77777777" w:rsidR="006850F0" w:rsidRPr="006850F0" w:rsidRDefault="006850F0" w:rsidP="006850F0">
      <w:pPr>
        <w:pStyle w:val="EndNoteBibliography"/>
        <w:spacing w:after="0"/>
        <w:rPr>
          <w:noProof/>
        </w:rPr>
      </w:pPr>
      <w:r w:rsidRPr="006850F0">
        <w:rPr>
          <w:noProof/>
        </w:rPr>
        <w:lastRenderedPageBreak/>
        <w:t>28.</w:t>
      </w:r>
      <w:r w:rsidRPr="006850F0">
        <w:rPr>
          <w:noProof/>
        </w:rPr>
        <w:tab/>
        <w:t>Mutshinda CM, O’Hara RB, Woiwod IP. A multispecies perspective on ecological impacts of climatic forcing. J Anim Ecol. 2011;80(1):101-7.</w:t>
      </w:r>
    </w:p>
    <w:p w14:paraId="58123F62" w14:textId="77777777" w:rsidR="006850F0" w:rsidRPr="006850F0" w:rsidRDefault="006850F0" w:rsidP="006850F0">
      <w:pPr>
        <w:pStyle w:val="EndNoteBibliography"/>
        <w:spacing w:after="0"/>
        <w:rPr>
          <w:noProof/>
        </w:rPr>
      </w:pPr>
      <w:r w:rsidRPr="006850F0">
        <w:rPr>
          <w:noProof/>
        </w:rPr>
        <w:t>29.</w:t>
      </w:r>
      <w:r w:rsidRPr="006850F0">
        <w:rPr>
          <w:noProof/>
        </w:rPr>
        <w:tab/>
        <w:t>Chan KS, Kristoffersen AB, Stenseth NC. Bürmann expansion and test for additivity. Biometrika. 2003;90:209-22.</w:t>
      </w:r>
    </w:p>
    <w:p w14:paraId="2CD77F5E" w14:textId="5CD7FE69" w:rsidR="006850F0" w:rsidRPr="006850F0" w:rsidRDefault="006850F0" w:rsidP="006850F0">
      <w:pPr>
        <w:pStyle w:val="EndNoteBibliography"/>
        <w:spacing w:after="0"/>
        <w:rPr>
          <w:noProof/>
        </w:rPr>
      </w:pPr>
      <w:r w:rsidRPr="006850F0">
        <w:rPr>
          <w:noProof/>
        </w:rPr>
        <w:t>30.</w:t>
      </w:r>
      <w:r w:rsidRPr="006850F0">
        <w:rPr>
          <w:noProof/>
        </w:rPr>
        <w:tab/>
        <w:t>Stan Development Team. RStan: the R interface to Stan. R package version 2.21.3. 2021;https://mc-stan.org/.</w:t>
      </w:r>
    </w:p>
    <w:p w14:paraId="768346B6" w14:textId="77777777" w:rsidR="006850F0" w:rsidRPr="006850F0" w:rsidRDefault="006850F0" w:rsidP="006850F0">
      <w:pPr>
        <w:pStyle w:val="EndNoteBibliography"/>
        <w:spacing w:after="0"/>
        <w:rPr>
          <w:noProof/>
        </w:rPr>
      </w:pPr>
      <w:r w:rsidRPr="006850F0">
        <w:rPr>
          <w:noProof/>
        </w:rPr>
        <w:t>31.</w:t>
      </w:r>
      <w:r w:rsidRPr="006850F0">
        <w:rPr>
          <w:noProof/>
        </w:rPr>
        <w:tab/>
        <w:t>Ono K, Punt AE, Rivot E. Model performance analysis for Bayesian biomass dynamics models using bias, precision and reliability metrics. Fisheries Research. 2012;125-126:173-83.</w:t>
      </w:r>
    </w:p>
    <w:p w14:paraId="233AE0CE" w14:textId="77777777" w:rsidR="006850F0" w:rsidRPr="006850F0" w:rsidRDefault="006850F0" w:rsidP="006850F0">
      <w:pPr>
        <w:pStyle w:val="EndNoteBibliography"/>
        <w:spacing w:after="0"/>
        <w:rPr>
          <w:noProof/>
        </w:rPr>
      </w:pPr>
      <w:r w:rsidRPr="006850F0">
        <w:rPr>
          <w:noProof/>
        </w:rPr>
        <w:t>32.</w:t>
      </w:r>
      <w:r w:rsidRPr="006850F0">
        <w:rPr>
          <w:noProof/>
        </w:rPr>
        <w:tab/>
        <w:t>Gelman A, Rubin DB. Inference from iterative simulation using multiple sequences. Statistical Science. 1992;7:457-72.</w:t>
      </w:r>
    </w:p>
    <w:p w14:paraId="0B7E26E8" w14:textId="6E7C53CB" w:rsidR="006850F0" w:rsidRPr="006850F0" w:rsidRDefault="006850F0" w:rsidP="006850F0">
      <w:pPr>
        <w:pStyle w:val="EndNoteBibliography"/>
        <w:spacing w:after="0"/>
        <w:rPr>
          <w:noProof/>
        </w:rPr>
      </w:pPr>
      <w:r w:rsidRPr="006850F0">
        <w:rPr>
          <w:noProof/>
        </w:rPr>
        <w:t>33.</w:t>
      </w:r>
      <w:r w:rsidRPr="006850F0">
        <w:rPr>
          <w:noProof/>
        </w:rPr>
        <w:tab/>
        <w:t xml:space="preserve">R Core Team. R: A language and environment for statistical computing. R Foundation for Statistical Computing, Vienna, Austria. 2022:URL </w:t>
      </w:r>
      <w:r w:rsidRPr="006850F0">
        <w:rPr>
          <w:noProof/>
          <w:u w:val="single"/>
        </w:rPr>
        <w:t>http://www.R-project.org</w:t>
      </w:r>
      <w:r w:rsidRPr="006850F0">
        <w:rPr>
          <w:noProof/>
        </w:rPr>
        <w:t>.</w:t>
      </w:r>
    </w:p>
    <w:p w14:paraId="6A44852B" w14:textId="77777777" w:rsidR="006850F0" w:rsidRPr="006850F0" w:rsidRDefault="006850F0" w:rsidP="006850F0">
      <w:pPr>
        <w:pStyle w:val="EndNoteBibliography"/>
        <w:spacing w:after="0"/>
        <w:rPr>
          <w:noProof/>
        </w:rPr>
      </w:pPr>
      <w:r w:rsidRPr="006850F0">
        <w:rPr>
          <w:noProof/>
        </w:rPr>
        <w:t>34.</w:t>
      </w:r>
      <w:r w:rsidRPr="006850F0">
        <w:rPr>
          <w:noProof/>
        </w:rPr>
        <w:tab/>
        <w:t>Fauchald P. Predator-prey reversal: A possible mechanism for ecosystem hysteresis in the North Sea? Ecology. 2010;91(8):2191-7.</w:t>
      </w:r>
    </w:p>
    <w:p w14:paraId="3D06899C" w14:textId="77777777" w:rsidR="006850F0" w:rsidRPr="006850F0" w:rsidRDefault="006850F0" w:rsidP="006850F0">
      <w:pPr>
        <w:pStyle w:val="EndNoteBibliography"/>
        <w:spacing w:after="0"/>
        <w:rPr>
          <w:noProof/>
        </w:rPr>
      </w:pPr>
      <w:r w:rsidRPr="006850F0">
        <w:rPr>
          <w:noProof/>
        </w:rPr>
        <w:t>35.</w:t>
      </w:r>
      <w:r w:rsidRPr="006850F0">
        <w:rPr>
          <w:noProof/>
        </w:rPr>
        <w:tab/>
        <w:t>Hjermann DØ, Bogstad B, Dingsor GE, Gjosaeter H, Ottersen G, Eikeset AM, et al. Trophic interactions affecting a key ecosystem component: a multistage analysis of the recruitment of the Barents Sea capelin (</w:t>
      </w:r>
      <w:r w:rsidRPr="006850F0">
        <w:rPr>
          <w:i/>
          <w:noProof/>
        </w:rPr>
        <w:t>Mallotus villosus</w:t>
      </w:r>
      <w:r w:rsidRPr="006850F0">
        <w:rPr>
          <w:noProof/>
        </w:rPr>
        <w:t>). Can J Fish Aquat Sci. 2010;67(9):1363-75.</w:t>
      </w:r>
    </w:p>
    <w:p w14:paraId="4EB036B5" w14:textId="77777777" w:rsidR="006850F0" w:rsidRPr="006850F0" w:rsidRDefault="006850F0" w:rsidP="006850F0">
      <w:pPr>
        <w:pStyle w:val="EndNoteBibliography"/>
        <w:spacing w:after="0"/>
        <w:rPr>
          <w:noProof/>
        </w:rPr>
      </w:pPr>
      <w:r w:rsidRPr="006850F0">
        <w:rPr>
          <w:noProof/>
        </w:rPr>
        <w:t>36.</w:t>
      </w:r>
      <w:r w:rsidRPr="006850F0">
        <w:rPr>
          <w:noProof/>
        </w:rPr>
        <w:tab/>
        <w:t>Hjermann DØ, Stenseth NC, Ottersen G. The population dynamics of Northeast Arctic cod (</w:t>
      </w:r>
      <w:r w:rsidRPr="006850F0">
        <w:rPr>
          <w:i/>
          <w:noProof/>
        </w:rPr>
        <w:t>Gadus morhua</w:t>
      </w:r>
      <w:r w:rsidRPr="006850F0">
        <w:rPr>
          <w:noProof/>
        </w:rPr>
        <w:t>) through two decades: an analysis based on survey data. Can J Fish Aquat Sci. 2004;61(9):1747-55.</w:t>
      </w:r>
    </w:p>
    <w:p w14:paraId="13E85C19" w14:textId="77777777" w:rsidR="006850F0" w:rsidRPr="006850F0" w:rsidRDefault="006850F0" w:rsidP="006850F0">
      <w:pPr>
        <w:pStyle w:val="EndNoteBibliography"/>
        <w:spacing w:after="0"/>
        <w:rPr>
          <w:noProof/>
        </w:rPr>
      </w:pPr>
      <w:r w:rsidRPr="006850F0">
        <w:rPr>
          <w:noProof/>
        </w:rPr>
        <w:t>37.</w:t>
      </w:r>
      <w:r w:rsidRPr="006850F0">
        <w:rPr>
          <w:noProof/>
        </w:rPr>
        <w:tab/>
        <w:t>Durant JM, Hjermann DØ, Sabarros PS, Stenseth NC. Northeast arctic cod population persistence in the Lofoten-Barents Sea system under fishing. Ecol Appl. 2008;18(3):662-9.</w:t>
      </w:r>
    </w:p>
    <w:p w14:paraId="58C805B0" w14:textId="77777777" w:rsidR="006850F0" w:rsidRPr="006850F0" w:rsidRDefault="006850F0" w:rsidP="006850F0">
      <w:pPr>
        <w:pStyle w:val="EndNoteBibliography"/>
        <w:spacing w:after="0"/>
        <w:rPr>
          <w:noProof/>
        </w:rPr>
      </w:pPr>
      <w:r w:rsidRPr="006850F0">
        <w:rPr>
          <w:noProof/>
        </w:rPr>
        <w:t>38.</w:t>
      </w:r>
      <w:r w:rsidRPr="006850F0">
        <w:rPr>
          <w:noProof/>
        </w:rPr>
        <w:tab/>
        <w:t>Hop H, Gjøsæter H. Polar cod (</w:t>
      </w:r>
      <w:r w:rsidRPr="006850F0">
        <w:rPr>
          <w:i/>
          <w:noProof/>
        </w:rPr>
        <w:t>Boreogadus saida</w:t>
      </w:r>
      <w:r w:rsidRPr="006850F0">
        <w:rPr>
          <w:noProof/>
        </w:rPr>
        <w:t>) and capelin (</w:t>
      </w:r>
      <w:r w:rsidRPr="006850F0">
        <w:rPr>
          <w:i/>
          <w:noProof/>
        </w:rPr>
        <w:t>Mallotus villosus</w:t>
      </w:r>
      <w:r w:rsidRPr="006850F0">
        <w:rPr>
          <w:noProof/>
        </w:rPr>
        <w:t>) as key species in marine food webs of the Arctic and the Barents Sea. Mar Biol Res. 2013;9(9):878-94.</w:t>
      </w:r>
    </w:p>
    <w:p w14:paraId="71E3CEB9" w14:textId="77777777" w:rsidR="006850F0" w:rsidRPr="006850F0" w:rsidRDefault="006850F0" w:rsidP="006850F0">
      <w:pPr>
        <w:pStyle w:val="EndNoteBibliography"/>
        <w:spacing w:after="0"/>
        <w:rPr>
          <w:noProof/>
        </w:rPr>
      </w:pPr>
      <w:r w:rsidRPr="006850F0">
        <w:rPr>
          <w:noProof/>
        </w:rPr>
        <w:t>39.</w:t>
      </w:r>
      <w:r w:rsidRPr="006850F0">
        <w:rPr>
          <w:noProof/>
        </w:rPr>
        <w:tab/>
        <w:t>Ellingsen KE, Yoccoz NG, Tveraa T, Frank KT, Johannesen E, Anderson MJ, et al. The rise of a marine generalist predator and the fall of beta diversity. Glob Change Biol. 2020:doi: 10.1111/gcb.15027.</w:t>
      </w:r>
    </w:p>
    <w:p w14:paraId="4FE09172" w14:textId="77777777" w:rsidR="006850F0" w:rsidRPr="006850F0" w:rsidRDefault="006850F0" w:rsidP="006850F0">
      <w:pPr>
        <w:pStyle w:val="EndNoteBibliography"/>
        <w:spacing w:after="0"/>
        <w:rPr>
          <w:noProof/>
        </w:rPr>
      </w:pPr>
      <w:r w:rsidRPr="006850F0">
        <w:rPr>
          <w:noProof/>
        </w:rPr>
        <w:t>40.</w:t>
      </w:r>
      <w:r w:rsidRPr="006850F0">
        <w:rPr>
          <w:noProof/>
        </w:rPr>
        <w:tab/>
        <w:t>Durant JM, Skern-Mauritzen M, Krasnov YV, Nikolaeva NG, Lindstrom U, Dolgov A. Temporal dynamics of top predators interactions in the Barents Sea. PLoS ONE. 2014;9(11):e110933.</w:t>
      </w:r>
    </w:p>
    <w:p w14:paraId="5ADB4377" w14:textId="77777777" w:rsidR="006850F0" w:rsidRPr="006850F0" w:rsidRDefault="006850F0" w:rsidP="006850F0">
      <w:pPr>
        <w:pStyle w:val="EndNoteBibliography"/>
        <w:spacing w:after="0"/>
        <w:rPr>
          <w:noProof/>
        </w:rPr>
      </w:pPr>
      <w:r w:rsidRPr="006850F0">
        <w:rPr>
          <w:noProof/>
        </w:rPr>
        <w:t>41.</w:t>
      </w:r>
      <w:r w:rsidRPr="006850F0">
        <w:rPr>
          <w:noProof/>
        </w:rPr>
        <w:tab/>
        <w:t>Hallfredsson EH, Pedersen T. Effects of predation from juvenile herring (</w:t>
      </w:r>
      <w:r w:rsidRPr="006850F0">
        <w:rPr>
          <w:i/>
          <w:noProof/>
        </w:rPr>
        <w:t>Clupea harengus</w:t>
      </w:r>
      <w:r w:rsidRPr="006850F0">
        <w:rPr>
          <w:noProof/>
        </w:rPr>
        <w:t>) on mortality rates of capelin (</w:t>
      </w:r>
      <w:r w:rsidRPr="006850F0">
        <w:rPr>
          <w:i/>
          <w:noProof/>
        </w:rPr>
        <w:t>Mallotus villosus</w:t>
      </w:r>
      <w:r w:rsidRPr="006850F0">
        <w:rPr>
          <w:noProof/>
        </w:rPr>
        <w:t>) larvae. Can J Fish Aquat Sci. 2009;66(10):1693-706.</w:t>
      </w:r>
    </w:p>
    <w:p w14:paraId="159DF239" w14:textId="77777777" w:rsidR="006850F0" w:rsidRPr="006850F0" w:rsidRDefault="006850F0" w:rsidP="006850F0">
      <w:pPr>
        <w:pStyle w:val="EndNoteBibliography"/>
        <w:spacing w:after="0"/>
        <w:rPr>
          <w:noProof/>
        </w:rPr>
      </w:pPr>
      <w:r w:rsidRPr="006850F0">
        <w:rPr>
          <w:noProof/>
        </w:rPr>
        <w:t>42.</w:t>
      </w:r>
      <w:r w:rsidRPr="006850F0">
        <w:rPr>
          <w:noProof/>
        </w:rPr>
        <w:tab/>
        <w:t>Fall J, Ciannelli L, Skaret G, Johannesen E. Seasonal dynamics of spatial distributions and overlap between Northeast Arctic cod (</w:t>
      </w:r>
      <w:r w:rsidRPr="006850F0">
        <w:rPr>
          <w:i/>
          <w:noProof/>
        </w:rPr>
        <w:t>Gadus morhua</w:t>
      </w:r>
      <w:r w:rsidRPr="006850F0">
        <w:rPr>
          <w:noProof/>
        </w:rPr>
        <w:t>) and capelin (</w:t>
      </w:r>
      <w:r w:rsidRPr="006850F0">
        <w:rPr>
          <w:i/>
          <w:noProof/>
        </w:rPr>
        <w:t>Mallotus villosus</w:t>
      </w:r>
      <w:r w:rsidRPr="006850F0">
        <w:rPr>
          <w:noProof/>
        </w:rPr>
        <w:t>) in the Barents Sea. PLoS ONE. 2018;13(10):e0205921.</w:t>
      </w:r>
    </w:p>
    <w:p w14:paraId="3048D3BF" w14:textId="77777777" w:rsidR="006850F0" w:rsidRPr="006850F0" w:rsidRDefault="006850F0" w:rsidP="006850F0">
      <w:pPr>
        <w:pStyle w:val="EndNoteBibliography"/>
        <w:spacing w:after="0"/>
        <w:rPr>
          <w:noProof/>
        </w:rPr>
      </w:pPr>
      <w:r w:rsidRPr="006850F0">
        <w:rPr>
          <w:noProof/>
        </w:rPr>
        <w:t>43.</w:t>
      </w:r>
      <w:r w:rsidRPr="006850F0">
        <w:rPr>
          <w:noProof/>
        </w:rPr>
        <w:tab/>
        <w:t xml:space="preserve">Dupont N, Durant JM, Gjøsæter H, Langangen Ø, Stige LC. Effects of sea ice cover, temperature and predation on the stock dynamics of the key Arctic fish species polar cod </w:t>
      </w:r>
      <w:r w:rsidRPr="006850F0">
        <w:rPr>
          <w:i/>
          <w:noProof/>
        </w:rPr>
        <w:t>Boreogadus saida</w:t>
      </w:r>
      <w:r w:rsidRPr="006850F0">
        <w:rPr>
          <w:noProof/>
        </w:rPr>
        <w:t>. Mar Ecol Prog Ser. 2021;677:141-59.</w:t>
      </w:r>
    </w:p>
    <w:p w14:paraId="6A0FB249" w14:textId="77777777" w:rsidR="006850F0" w:rsidRPr="006850F0" w:rsidRDefault="006850F0" w:rsidP="006850F0">
      <w:pPr>
        <w:pStyle w:val="EndNoteBibliography"/>
        <w:spacing w:after="0"/>
        <w:rPr>
          <w:noProof/>
        </w:rPr>
      </w:pPr>
      <w:r w:rsidRPr="006850F0">
        <w:rPr>
          <w:noProof/>
        </w:rPr>
        <w:t>44.</w:t>
      </w:r>
      <w:r w:rsidRPr="006850F0">
        <w:rPr>
          <w:noProof/>
        </w:rPr>
        <w:tab/>
        <w:t>Skern-Mauritzen M, Ottersen G, Handegard NO, Huse G, Dingsor GE, Stenseth NC, et al. Ecosystem processes are rarely included in tactical fisheries management. Fish Fish. 2016;17(1):165-75.</w:t>
      </w:r>
    </w:p>
    <w:p w14:paraId="28FB769E" w14:textId="77777777" w:rsidR="006850F0" w:rsidRPr="006850F0" w:rsidRDefault="006850F0" w:rsidP="006850F0">
      <w:pPr>
        <w:pStyle w:val="EndNoteBibliography"/>
        <w:spacing w:after="0"/>
        <w:rPr>
          <w:noProof/>
        </w:rPr>
      </w:pPr>
      <w:r w:rsidRPr="006850F0">
        <w:rPr>
          <w:noProof/>
        </w:rPr>
        <w:t>45.</w:t>
      </w:r>
      <w:r w:rsidRPr="006850F0">
        <w:rPr>
          <w:noProof/>
        </w:rPr>
        <w:tab/>
        <w:t>Tereschenko VV. Seasonal and year-to-year variations of temperature and salinity along the Kola meridian transect. ICES CM. 1996;C11:pp24.</w:t>
      </w:r>
    </w:p>
    <w:p w14:paraId="26D90E32" w14:textId="77777777" w:rsidR="006850F0" w:rsidRPr="006850F0" w:rsidRDefault="006850F0" w:rsidP="006850F0">
      <w:pPr>
        <w:pStyle w:val="EndNoteBibliography"/>
        <w:rPr>
          <w:noProof/>
        </w:rPr>
      </w:pPr>
      <w:r w:rsidRPr="006850F0">
        <w:rPr>
          <w:noProof/>
        </w:rPr>
        <w:t>46.</w:t>
      </w:r>
      <w:r w:rsidRPr="006850F0">
        <w:rPr>
          <w:noProof/>
        </w:rPr>
        <w:tab/>
        <w:t>Bakketeig IE, Hauge M, Kvamme C, Sunnset BH, Toft KØ. Havforskningsrapporten 2016. Fisken Havet. 2016;1(2016):99.</w:t>
      </w:r>
    </w:p>
    <w:p w14:paraId="462754B3" w14:textId="6547DC35" w:rsidR="005A7A1A" w:rsidRPr="00B07091" w:rsidRDefault="005A7A1A" w:rsidP="009D4F13">
      <w:pPr>
        <w:spacing w:after="0" w:line="240" w:lineRule="auto"/>
        <w:rPr>
          <w:b/>
        </w:rPr>
      </w:pPr>
    </w:p>
    <w:p w14:paraId="79788893" w14:textId="77777777" w:rsidR="00A13029" w:rsidRPr="00B07091" w:rsidRDefault="00A13029">
      <w:r w:rsidRPr="00B07091">
        <w:br w:type="page"/>
      </w:r>
    </w:p>
    <w:p w14:paraId="3CAD81CC" w14:textId="77777777" w:rsidR="002D3FD4" w:rsidRPr="00B07091" w:rsidRDefault="002D3FD4" w:rsidP="002D3FD4">
      <w:pPr>
        <w:spacing w:after="0" w:line="240" w:lineRule="auto"/>
        <w:ind w:firstLine="720"/>
      </w:pPr>
    </w:p>
    <w:p w14:paraId="67594F3E" w14:textId="77777777" w:rsidR="002D3FD4" w:rsidRPr="00B07091" w:rsidRDefault="002D3FD4" w:rsidP="002D3FD4">
      <w:pPr>
        <w:spacing w:after="60"/>
      </w:pPr>
      <w:r w:rsidRPr="00B07091">
        <w:rPr>
          <w:b/>
        </w:rPr>
        <w:t xml:space="preserve">Table 1. </w:t>
      </w:r>
      <w:r w:rsidRPr="00B07091">
        <w:t xml:space="preserve">Summary of the equations. </w:t>
      </w:r>
    </w:p>
    <w:tbl>
      <w:tblPr>
        <w:tblW w:w="8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279"/>
        <w:gridCol w:w="7092"/>
        <w:gridCol w:w="406"/>
      </w:tblGrid>
      <w:tr w:rsidR="002D3FD4" w:rsidRPr="00B07091" w14:paraId="353CD161" w14:textId="77777777" w:rsidTr="002B751B">
        <w:trPr>
          <w:trHeight w:val="277"/>
        </w:trPr>
        <w:tc>
          <w:tcPr>
            <w:tcW w:w="8500" w:type="dxa"/>
            <w:gridSpan w:val="3"/>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841D915" w14:textId="4774A2EE" w:rsidR="002D3FD4" w:rsidRPr="00B07091" w:rsidRDefault="00EC5D97" w:rsidP="00E847A2">
            <w:pPr>
              <w:ind w:right="141"/>
              <w:rPr>
                <w:b/>
                <w:sz w:val="20"/>
                <w:szCs w:val="20"/>
              </w:rPr>
            </w:pPr>
            <w:r w:rsidRPr="00B07091">
              <w:rPr>
                <w:b/>
                <w:sz w:val="20"/>
                <w:szCs w:val="20"/>
              </w:rPr>
              <w:t>F</w:t>
            </w:r>
            <w:r w:rsidR="002D3FD4" w:rsidRPr="00B07091">
              <w:rPr>
                <w:b/>
                <w:sz w:val="20"/>
                <w:szCs w:val="20"/>
              </w:rPr>
              <w:t>ormulation</w:t>
            </w:r>
          </w:p>
        </w:tc>
        <w:tc>
          <w:tcPr>
            <w:tcW w:w="406" w:type="dxa"/>
            <w:tcBorders>
              <w:top w:val="single" w:sz="4" w:space="0" w:color="auto"/>
              <w:left w:val="nil"/>
              <w:bottom w:val="single" w:sz="4" w:space="0" w:color="auto"/>
              <w:right w:val="nil"/>
            </w:tcBorders>
            <w:vAlign w:val="center"/>
          </w:tcPr>
          <w:p w14:paraId="4131F97C" w14:textId="77777777" w:rsidR="002D3FD4" w:rsidRPr="00B07091" w:rsidRDefault="002D3FD4" w:rsidP="00E847A2">
            <w:pPr>
              <w:jc w:val="center"/>
              <w:rPr>
                <w:b/>
                <w:sz w:val="20"/>
                <w:szCs w:val="20"/>
              </w:rPr>
            </w:pPr>
            <w:r w:rsidRPr="00B07091">
              <w:rPr>
                <w:b/>
                <w:sz w:val="20"/>
                <w:szCs w:val="20"/>
              </w:rPr>
              <w:t>Eqn.</w:t>
            </w:r>
          </w:p>
        </w:tc>
      </w:tr>
      <w:tr w:rsidR="002D3FD4" w:rsidRPr="00B07091" w14:paraId="6741E80C" w14:textId="77777777" w:rsidTr="002B751B">
        <w:trPr>
          <w:trHeight w:val="340"/>
        </w:trPr>
        <w:tc>
          <w:tcPr>
            <w:tcW w:w="1129" w:type="dxa"/>
            <w:tcBorders>
              <w:top w:val="single" w:sz="4" w:space="0" w:color="auto"/>
              <w:left w:val="nil"/>
              <w:bottom w:val="nil"/>
              <w:right w:val="nil"/>
            </w:tcBorders>
            <w:shd w:val="clear" w:color="auto" w:fill="auto"/>
            <w:tcMar>
              <w:top w:w="72" w:type="dxa"/>
              <w:left w:w="144" w:type="dxa"/>
              <w:bottom w:w="72" w:type="dxa"/>
              <w:right w:w="144" w:type="dxa"/>
            </w:tcMar>
            <w:hideMark/>
          </w:tcPr>
          <w:p w14:paraId="79394D14" w14:textId="77777777" w:rsidR="002D3FD4" w:rsidRPr="00B07091" w:rsidRDefault="002D3FD4" w:rsidP="00E847A2">
            <w:pPr>
              <w:rPr>
                <w:sz w:val="18"/>
                <w:szCs w:val="18"/>
              </w:rPr>
            </w:pPr>
            <w:r w:rsidRPr="00B07091">
              <w:rPr>
                <w:rFonts w:ascii="Times New Roman" w:hAnsi="Times New Roman" w:cs="Times New Roman"/>
                <w:sz w:val="18"/>
                <w:szCs w:val="18"/>
              </w:rPr>
              <w:t>ln(</w:t>
            </w:r>
            <w:proofErr w:type="spellStart"/>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w:t>
            </w:r>
            <w:proofErr w:type="spellEnd"/>
            <w:r w:rsidRPr="00B07091">
              <w:rPr>
                <w:rFonts w:ascii="Times New Roman" w:hAnsi="Times New Roman" w:cs="Times New Roman"/>
                <w:sz w:val="18"/>
                <w:szCs w:val="18"/>
              </w:rPr>
              <w:t xml:space="preserve">) </w:t>
            </w:r>
            <w:r w:rsidRPr="00B07091">
              <w:rPr>
                <w:sz w:val="18"/>
                <w:szCs w:val="18"/>
              </w:rPr>
              <w:t>=</w:t>
            </w:r>
          </w:p>
        </w:tc>
        <w:tc>
          <w:tcPr>
            <w:tcW w:w="279" w:type="dxa"/>
            <w:tcBorders>
              <w:top w:val="single" w:sz="4" w:space="0" w:color="auto"/>
              <w:left w:val="nil"/>
              <w:bottom w:val="nil"/>
              <w:right w:val="nil"/>
            </w:tcBorders>
          </w:tcPr>
          <w:p w14:paraId="264EE61D" w14:textId="77777777" w:rsidR="002D3FD4" w:rsidRPr="00B07091" w:rsidRDefault="002D3FD4" w:rsidP="00E847A2">
            <w:pPr>
              <w:rPr>
                <w:sz w:val="18"/>
                <w:szCs w:val="18"/>
              </w:rPr>
            </w:pPr>
          </w:p>
        </w:tc>
        <w:tc>
          <w:tcPr>
            <w:tcW w:w="7092" w:type="dxa"/>
            <w:tcBorders>
              <w:top w:val="single" w:sz="4" w:space="0" w:color="auto"/>
              <w:left w:val="nil"/>
              <w:bottom w:val="nil"/>
              <w:right w:val="nil"/>
            </w:tcBorders>
            <w:shd w:val="clear" w:color="auto" w:fill="auto"/>
            <w:tcMar>
              <w:top w:w="72" w:type="dxa"/>
              <w:left w:w="144" w:type="dxa"/>
              <w:bottom w:w="72" w:type="dxa"/>
              <w:right w:w="144" w:type="dxa"/>
            </w:tcMar>
            <w:hideMark/>
          </w:tcPr>
          <w:p w14:paraId="3BDEA51A" w14:textId="2CFA95B2" w:rsidR="002D3FD4" w:rsidRPr="00B07091" w:rsidRDefault="002D3FD4" w:rsidP="00E847A2">
            <w:pPr>
              <w:ind w:right="141"/>
              <w:rPr>
                <w:rFonts w:ascii="Times New Roman" w:hAnsi="Times New Roman" w:cs="Times New Roman"/>
                <w:sz w:val="18"/>
                <w:szCs w:val="18"/>
              </w:rPr>
            </w:pPr>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i,0</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i,i</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i,j</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j,yr-1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i,st</w:t>
            </w:r>
            <w:r w:rsidRPr="00B07091">
              <w:rPr>
                <w:rFonts w:ascii="Times New Roman" w:hAnsi="Times New Roman" w:cs="Times New Roman"/>
                <w:sz w:val="18"/>
                <w:szCs w:val="18"/>
              </w:rPr>
              <w:t>·ST</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i,nao</w:t>
            </w:r>
            <w:r w:rsidRPr="00B07091">
              <w:rPr>
                <w:rFonts w:ascii="Times New Roman" w:hAnsi="Times New Roman" w:cs="Times New Roman"/>
                <w:sz w:val="18"/>
                <w:szCs w:val="18"/>
              </w:rPr>
              <w:t>·wNAO</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ε</w:t>
            </w:r>
            <w:r w:rsidRPr="00B07091">
              <w:rPr>
                <w:rFonts w:ascii="Times New Roman" w:hAnsi="Times New Roman" w:cs="Times New Roman"/>
                <w:sz w:val="18"/>
                <w:szCs w:val="18"/>
                <w:vertAlign w:val="subscript"/>
              </w:rPr>
              <w:t>i</w:t>
            </w:r>
            <w:r w:rsidR="00F653BD" w:rsidRPr="00B07091">
              <w:rPr>
                <w:rFonts w:ascii="Times New Roman" w:hAnsi="Times New Roman" w:cs="Times New Roman"/>
                <w:sz w:val="18"/>
                <w:szCs w:val="18"/>
                <w:vertAlign w:val="subscript"/>
              </w:rPr>
              <w:t>,yr</w:t>
            </w:r>
            <w:proofErr w:type="spellEnd"/>
            <w:r w:rsidRPr="00B07091">
              <w:rPr>
                <w:rFonts w:ascii="Times New Roman" w:hAnsi="Times New Roman" w:cs="Times New Roman"/>
                <w:sz w:val="18"/>
                <w:szCs w:val="18"/>
              </w:rPr>
              <w:t xml:space="preserve">  </w:t>
            </w:r>
          </w:p>
        </w:tc>
        <w:tc>
          <w:tcPr>
            <w:tcW w:w="406" w:type="dxa"/>
            <w:tcBorders>
              <w:top w:val="single" w:sz="4" w:space="0" w:color="auto"/>
              <w:left w:val="nil"/>
              <w:bottom w:val="nil"/>
              <w:right w:val="nil"/>
            </w:tcBorders>
            <w:vAlign w:val="center"/>
          </w:tcPr>
          <w:p w14:paraId="6770A39F" w14:textId="77777777" w:rsidR="002D3FD4" w:rsidRPr="00B07091" w:rsidRDefault="002D3FD4" w:rsidP="00E847A2">
            <w:pPr>
              <w:jc w:val="center"/>
              <w:rPr>
                <w:sz w:val="20"/>
                <w:szCs w:val="20"/>
              </w:rPr>
            </w:pPr>
            <w:r w:rsidRPr="00B07091">
              <w:rPr>
                <w:sz w:val="20"/>
                <w:szCs w:val="20"/>
              </w:rPr>
              <w:t>1</w:t>
            </w:r>
          </w:p>
        </w:tc>
      </w:tr>
      <w:tr w:rsidR="002D3FD4" w:rsidRPr="00B07091" w14:paraId="0FB36BF0" w14:textId="77777777" w:rsidTr="002B751B">
        <w:trPr>
          <w:trHeight w:val="340"/>
        </w:trPr>
        <w:tc>
          <w:tcPr>
            <w:tcW w:w="8500" w:type="dxa"/>
            <w:gridSpan w:val="3"/>
            <w:tcBorders>
              <w:top w:val="nil"/>
              <w:left w:val="nil"/>
              <w:bottom w:val="nil"/>
              <w:right w:val="nil"/>
            </w:tcBorders>
            <w:shd w:val="clear" w:color="auto" w:fill="D9D9D9" w:themeFill="background1" w:themeFillShade="D9"/>
            <w:tcMar>
              <w:top w:w="72" w:type="dxa"/>
              <w:left w:w="144" w:type="dxa"/>
              <w:bottom w:w="72" w:type="dxa"/>
              <w:right w:w="144" w:type="dxa"/>
            </w:tcMar>
          </w:tcPr>
          <w:p w14:paraId="666FF3AB" w14:textId="73714AB2" w:rsidR="002D3FD4" w:rsidRPr="00B07091" w:rsidRDefault="002D3FD4" w:rsidP="00E847A2">
            <w:pPr>
              <w:ind w:right="141"/>
              <w:rPr>
                <w:rFonts w:ascii="Times New Roman" w:hAnsi="Times New Roman" w:cs="Times New Roman"/>
                <w:sz w:val="18"/>
                <w:szCs w:val="18"/>
              </w:rPr>
            </w:pPr>
            <w:proofErr w:type="spellStart"/>
            <w:r w:rsidRPr="00B07091">
              <w:rPr>
                <w:rFonts w:ascii="Times New Roman" w:hAnsi="Times New Roman" w:cs="Times New Roman"/>
                <w:sz w:val="18"/>
                <w:szCs w:val="18"/>
              </w:rPr>
              <w:t>ε</w:t>
            </w:r>
            <w:r w:rsidRPr="00B07091">
              <w:rPr>
                <w:rFonts w:ascii="Times New Roman" w:hAnsi="Times New Roman" w:cs="Times New Roman"/>
                <w:sz w:val="18"/>
                <w:szCs w:val="18"/>
                <w:vertAlign w:val="subscript"/>
              </w:rPr>
              <w:t>i</w:t>
            </w:r>
            <w:r w:rsidR="00F653BD" w:rsidRPr="00B07091">
              <w:rPr>
                <w:rFonts w:ascii="Times New Roman" w:hAnsi="Times New Roman" w:cs="Times New Roman"/>
                <w:sz w:val="18"/>
                <w:szCs w:val="18"/>
                <w:vertAlign w:val="subscript"/>
              </w:rPr>
              <w:t>,yr</w:t>
            </w:r>
            <w:proofErr w:type="spellEnd"/>
            <w:r w:rsidRPr="00B07091">
              <w:rPr>
                <w:rFonts w:ascii="Times New Roman" w:hAnsi="Times New Roman" w:cs="Times New Roman"/>
                <w:sz w:val="18"/>
                <w:szCs w:val="18"/>
              </w:rPr>
              <w:t xml:space="preserve"> ~ </w:t>
            </w:r>
            <w:r w:rsidRPr="00B07091">
              <w:rPr>
                <w:rFonts w:ascii="Times New Roman" w:hAnsi="Times New Roman" w:cs="Times New Roman"/>
                <w:i/>
                <w:sz w:val="18"/>
                <w:szCs w:val="18"/>
              </w:rPr>
              <w:t>Normal</w:t>
            </w:r>
            <w:r w:rsidRPr="00B07091">
              <w:rPr>
                <w:rFonts w:ascii="Times New Roman" w:hAnsi="Times New Roman" w:cs="Times New Roman"/>
                <w:sz w:val="18"/>
                <w:szCs w:val="18"/>
              </w:rPr>
              <w:t>(0, σ</w:t>
            </w:r>
            <w:r w:rsidRPr="00B07091">
              <w:rPr>
                <w:rFonts w:ascii="Times New Roman" w:hAnsi="Times New Roman" w:cs="Times New Roman"/>
                <w:sz w:val="18"/>
                <w:szCs w:val="18"/>
                <w:vertAlign w:val="superscript"/>
              </w:rPr>
              <w:t>2</w:t>
            </w:r>
            <w:r w:rsidRPr="00B07091">
              <w:rPr>
                <w:rFonts w:ascii="Times New Roman" w:hAnsi="Times New Roman" w:cs="Times New Roman"/>
                <w:sz w:val="18"/>
                <w:szCs w:val="18"/>
                <w:vertAlign w:val="subscript"/>
              </w:rPr>
              <w:t>i,proc</w:t>
            </w:r>
            <w:r w:rsidRPr="00B07091">
              <w:rPr>
                <w:rFonts w:ascii="Times New Roman" w:hAnsi="Times New Roman" w:cs="Times New Roman"/>
                <w:sz w:val="18"/>
                <w:szCs w:val="18"/>
              </w:rPr>
              <w:t>)</w:t>
            </w:r>
          </w:p>
        </w:tc>
        <w:tc>
          <w:tcPr>
            <w:tcW w:w="406" w:type="dxa"/>
            <w:tcBorders>
              <w:top w:val="nil"/>
              <w:left w:val="nil"/>
              <w:bottom w:val="nil"/>
              <w:right w:val="nil"/>
            </w:tcBorders>
            <w:shd w:val="clear" w:color="auto" w:fill="D9D9D9" w:themeFill="background1" w:themeFillShade="D9"/>
            <w:vAlign w:val="center"/>
          </w:tcPr>
          <w:p w14:paraId="6FE3C2C1" w14:textId="77777777" w:rsidR="002D3FD4" w:rsidRPr="00B07091" w:rsidRDefault="002D3FD4" w:rsidP="00E847A2">
            <w:pPr>
              <w:jc w:val="center"/>
              <w:rPr>
                <w:sz w:val="20"/>
                <w:szCs w:val="20"/>
              </w:rPr>
            </w:pPr>
            <w:r w:rsidRPr="00B07091">
              <w:rPr>
                <w:sz w:val="20"/>
                <w:szCs w:val="20"/>
              </w:rPr>
              <w:t>2</w:t>
            </w:r>
          </w:p>
        </w:tc>
      </w:tr>
      <w:tr w:rsidR="002D3FD4" w:rsidRPr="00B07091" w14:paraId="6167467E" w14:textId="77777777" w:rsidTr="002B751B">
        <w:trPr>
          <w:trHeight w:val="340"/>
        </w:trPr>
        <w:tc>
          <w:tcPr>
            <w:tcW w:w="1129" w:type="dxa"/>
            <w:tcBorders>
              <w:top w:val="nil"/>
              <w:left w:val="nil"/>
              <w:bottom w:val="nil"/>
              <w:right w:val="nil"/>
            </w:tcBorders>
            <w:shd w:val="clear" w:color="auto" w:fill="auto"/>
            <w:tcMar>
              <w:top w:w="72" w:type="dxa"/>
              <w:left w:w="144" w:type="dxa"/>
              <w:bottom w:w="72" w:type="dxa"/>
              <w:right w:w="144" w:type="dxa"/>
            </w:tcMar>
          </w:tcPr>
          <w:p w14:paraId="7140998C" w14:textId="77777777" w:rsidR="002D3FD4" w:rsidRPr="00B07091" w:rsidRDefault="002D3FD4" w:rsidP="00E847A2">
            <w:pPr>
              <w:rPr>
                <w:sz w:val="18"/>
                <w:szCs w:val="18"/>
              </w:rPr>
            </w:pPr>
            <w:r w:rsidRPr="00B07091">
              <w:rPr>
                <w:rFonts w:ascii="Times New Roman" w:hAnsi="Times New Roman" w:cs="Times New Roman"/>
                <w:sz w:val="18"/>
                <w:szCs w:val="18"/>
              </w:rPr>
              <w:t>ln(</w:t>
            </w:r>
            <w:proofErr w:type="spellStart"/>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w:t>
            </w:r>
            <w:proofErr w:type="spellEnd"/>
            <w:r w:rsidRPr="00B07091">
              <w:rPr>
                <w:rFonts w:ascii="Times New Roman" w:hAnsi="Times New Roman" w:cs="Times New Roman"/>
                <w:sz w:val="18"/>
                <w:szCs w:val="18"/>
              </w:rPr>
              <w:t xml:space="preserve">) </w:t>
            </w:r>
            <w:r w:rsidRPr="00B07091">
              <w:rPr>
                <w:sz w:val="18"/>
                <w:szCs w:val="18"/>
              </w:rPr>
              <w:t>=</w:t>
            </w:r>
          </w:p>
        </w:tc>
        <w:tc>
          <w:tcPr>
            <w:tcW w:w="279" w:type="dxa"/>
            <w:tcBorders>
              <w:top w:val="nil"/>
              <w:left w:val="nil"/>
              <w:bottom w:val="nil"/>
              <w:right w:val="nil"/>
            </w:tcBorders>
          </w:tcPr>
          <w:p w14:paraId="564F7503" w14:textId="77777777" w:rsidR="002D3FD4" w:rsidRPr="00B07091" w:rsidRDefault="002D3FD4" w:rsidP="00E847A2">
            <w:pPr>
              <w:rPr>
                <w:sz w:val="18"/>
                <w:szCs w:val="18"/>
              </w:rPr>
            </w:pPr>
          </w:p>
        </w:tc>
        <w:tc>
          <w:tcPr>
            <w:tcW w:w="7092" w:type="dxa"/>
            <w:tcBorders>
              <w:top w:val="nil"/>
              <w:left w:val="nil"/>
              <w:bottom w:val="nil"/>
              <w:right w:val="nil"/>
            </w:tcBorders>
            <w:shd w:val="clear" w:color="auto" w:fill="auto"/>
            <w:tcMar>
              <w:top w:w="72" w:type="dxa"/>
              <w:left w:w="144" w:type="dxa"/>
              <w:bottom w:w="72" w:type="dxa"/>
              <w:right w:w="144" w:type="dxa"/>
            </w:tcMar>
          </w:tcPr>
          <w:p w14:paraId="4148D652" w14:textId="2068DF9E" w:rsidR="002D3FD4" w:rsidRPr="00B07091" w:rsidRDefault="002D3FD4" w:rsidP="00E847A2">
            <w:pPr>
              <w:ind w:right="141"/>
              <w:rPr>
                <w:rFonts w:ascii="Times New Roman" w:hAnsi="Times New Roman" w:cs="Times New Roman"/>
                <w:sz w:val="18"/>
                <w:szCs w:val="18"/>
              </w:rPr>
            </w:pPr>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i,0</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i,i</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i,j</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w:t>
            </w:r>
            <w:proofErr w:type="spellStart"/>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j,yr</w:t>
            </w:r>
            <w:proofErr w:type="spellEnd"/>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i,st</w:t>
            </w:r>
            <w:r w:rsidRPr="00B07091">
              <w:rPr>
                <w:rFonts w:ascii="Times New Roman" w:hAnsi="Times New Roman" w:cs="Times New Roman"/>
                <w:sz w:val="18"/>
                <w:szCs w:val="18"/>
              </w:rPr>
              <w:t>·ST</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i,nao</w:t>
            </w:r>
            <w:r w:rsidRPr="00B07091">
              <w:rPr>
                <w:rFonts w:ascii="Times New Roman" w:hAnsi="Times New Roman" w:cs="Times New Roman"/>
                <w:sz w:val="18"/>
                <w:szCs w:val="18"/>
              </w:rPr>
              <w:t>·wNAO</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ε</w:t>
            </w:r>
            <w:r w:rsidRPr="00B07091">
              <w:rPr>
                <w:rFonts w:ascii="Times New Roman" w:hAnsi="Times New Roman" w:cs="Times New Roman"/>
                <w:sz w:val="18"/>
                <w:szCs w:val="18"/>
                <w:vertAlign w:val="subscript"/>
              </w:rPr>
              <w:t>i</w:t>
            </w:r>
            <w:r w:rsidR="00F653BD" w:rsidRPr="00B07091">
              <w:rPr>
                <w:rFonts w:ascii="Times New Roman" w:hAnsi="Times New Roman" w:cs="Times New Roman"/>
                <w:sz w:val="18"/>
                <w:szCs w:val="18"/>
                <w:vertAlign w:val="subscript"/>
              </w:rPr>
              <w:t>,yr</w:t>
            </w:r>
            <w:proofErr w:type="spellEnd"/>
          </w:p>
        </w:tc>
        <w:tc>
          <w:tcPr>
            <w:tcW w:w="406" w:type="dxa"/>
            <w:tcBorders>
              <w:top w:val="nil"/>
              <w:left w:val="nil"/>
              <w:bottom w:val="nil"/>
              <w:right w:val="nil"/>
            </w:tcBorders>
            <w:vAlign w:val="center"/>
          </w:tcPr>
          <w:p w14:paraId="2252E6A7" w14:textId="77777777" w:rsidR="002D3FD4" w:rsidRPr="00B07091" w:rsidRDefault="002D3FD4" w:rsidP="00E847A2">
            <w:pPr>
              <w:jc w:val="center"/>
              <w:rPr>
                <w:sz w:val="20"/>
                <w:szCs w:val="20"/>
              </w:rPr>
            </w:pPr>
            <w:r w:rsidRPr="00B07091">
              <w:rPr>
                <w:sz w:val="20"/>
                <w:szCs w:val="20"/>
              </w:rPr>
              <w:t>3</w:t>
            </w:r>
          </w:p>
        </w:tc>
      </w:tr>
      <w:tr w:rsidR="002D3FD4" w:rsidRPr="00B07091" w14:paraId="577EA7DC" w14:textId="77777777" w:rsidTr="002B751B">
        <w:trPr>
          <w:trHeight w:val="340"/>
        </w:trPr>
        <w:tc>
          <w:tcPr>
            <w:tcW w:w="8500" w:type="dxa"/>
            <w:gridSpan w:val="3"/>
            <w:tcBorders>
              <w:top w:val="nil"/>
              <w:left w:val="nil"/>
              <w:bottom w:val="nil"/>
              <w:right w:val="nil"/>
            </w:tcBorders>
            <w:shd w:val="clear" w:color="auto" w:fill="D9D9D9" w:themeFill="background1" w:themeFillShade="D9"/>
            <w:tcMar>
              <w:top w:w="72" w:type="dxa"/>
              <w:left w:w="144" w:type="dxa"/>
              <w:bottom w:w="72" w:type="dxa"/>
              <w:right w:w="144" w:type="dxa"/>
            </w:tcMar>
          </w:tcPr>
          <w:p w14:paraId="520847F5" w14:textId="77777777" w:rsidR="002D3FD4" w:rsidRPr="00B07091" w:rsidRDefault="002D3FD4" w:rsidP="00E847A2">
            <w:pPr>
              <w:ind w:right="141"/>
              <w:rPr>
                <w:rFonts w:ascii="Times New Roman" w:hAnsi="Times New Roman" w:cs="Times New Roman"/>
                <w:sz w:val="18"/>
                <w:szCs w:val="18"/>
              </w:rPr>
            </w:pPr>
            <w:r w:rsidRPr="00B07091">
              <w:rPr>
                <w:rFonts w:ascii="Times New Roman" w:hAnsi="Times New Roman" w:cs="Times New Roman"/>
                <w:sz w:val="18"/>
                <w:szCs w:val="18"/>
              </w:rPr>
              <w:t>ln(</w:t>
            </w:r>
            <w:proofErr w:type="spellStart"/>
            <w:r w:rsidRPr="00B07091">
              <w:rPr>
                <w:rFonts w:ascii="Times New Roman" w:hAnsi="Times New Roman" w:cs="Times New Roman"/>
                <w:sz w:val="18"/>
                <w:szCs w:val="18"/>
              </w:rPr>
              <w:t>Obs</w:t>
            </w:r>
            <w:r w:rsidRPr="00B07091">
              <w:rPr>
                <w:rFonts w:ascii="Times New Roman" w:hAnsi="Times New Roman" w:cs="Times New Roman"/>
                <w:sz w:val="18"/>
                <w:szCs w:val="18"/>
                <w:vertAlign w:val="subscript"/>
              </w:rPr>
              <w:t>i,yr</w:t>
            </w:r>
            <w:proofErr w:type="spellEnd"/>
            <w:r w:rsidRPr="00B07091">
              <w:rPr>
                <w:rFonts w:ascii="Times New Roman" w:hAnsi="Times New Roman" w:cs="Times New Roman"/>
                <w:sz w:val="18"/>
                <w:szCs w:val="18"/>
              </w:rPr>
              <w:t xml:space="preserve">) ~ </w:t>
            </w:r>
            <w:r w:rsidRPr="00B07091">
              <w:rPr>
                <w:rFonts w:ascii="Times New Roman" w:hAnsi="Times New Roman" w:cs="Times New Roman"/>
                <w:i/>
                <w:sz w:val="18"/>
                <w:szCs w:val="18"/>
              </w:rPr>
              <w:t>Normal</w:t>
            </w:r>
            <w:r w:rsidRPr="00B07091">
              <w:rPr>
                <w:rFonts w:ascii="Times New Roman" w:hAnsi="Times New Roman" w:cs="Times New Roman"/>
                <w:sz w:val="18"/>
                <w:szCs w:val="18"/>
              </w:rPr>
              <w:t>(ln(</w:t>
            </w:r>
            <w:proofErr w:type="spellStart"/>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w:t>
            </w:r>
            <w:proofErr w:type="spellEnd"/>
            <w:r w:rsidRPr="00B07091">
              <w:rPr>
                <w:rFonts w:ascii="Times New Roman" w:hAnsi="Times New Roman" w:cs="Times New Roman"/>
                <w:sz w:val="18"/>
                <w:szCs w:val="18"/>
              </w:rPr>
              <w:t>), σ</w:t>
            </w:r>
            <w:r w:rsidRPr="00B07091">
              <w:rPr>
                <w:rFonts w:ascii="Times New Roman" w:hAnsi="Times New Roman" w:cs="Times New Roman"/>
                <w:sz w:val="18"/>
                <w:szCs w:val="18"/>
                <w:vertAlign w:val="superscript"/>
              </w:rPr>
              <w:t>2</w:t>
            </w:r>
            <w:r w:rsidRPr="00B07091">
              <w:rPr>
                <w:rFonts w:ascii="Times New Roman" w:hAnsi="Times New Roman" w:cs="Times New Roman"/>
                <w:sz w:val="18"/>
                <w:szCs w:val="18"/>
                <w:vertAlign w:val="subscript"/>
              </w:rPr>
              <w:t>i,obs</w:t>
            </w:r>
            <w:r w:rsidRPr="00B07091">
              <w:rPr>
                <w:rFonts w:ascii="Times New Roman" w:hAnsi="Times New Roman" w:cs="Times New Roman"/>
                <w:sz w:val="18"/>
                <w:szCs w:val="18"/>
              </w:rPr>
              <w:t>)</w:t>
            </w:r>
          </w:p>
        </w:tc>
        <w:tc>
          <w:tcPr>
            <w:tcW w:w="406" w:type="dxa"/>
            <w:tcBorders>
              <w:top w:val="nil"/>
              <w:left w:val="nil"/>
              <w:bottom w:val="nil"/>
              <w:right w:val="nil"/>
            </w:tcBorders>
            <w:shd w:val="clear" w:color="auto" w:fill="D9D9D9" w:themeFill="background1" w:themeFillShade="D9"/>
            <w:vAlign w:val="center"/>
          </w:tcPr>
          <w:p w14:paraId="22BD6955" w14:textId="77777777" w:rsidR="002D3FD4" w:rsidRPr="00B07091" w:rsidRDefault="002D3FD4" w:rsidP="00E847A2">
            <w:pPr>
              <w:jc w:val="center"/>
              <w:rPr>
                <w:sz w:val="20"/>
                <w:szCs w:val="20"/>
              </w:rPr>
            </w:pPr>
            <w:r w:rsidRPr="00B07091">
              <w:rPr>
                <w:sz w:val="20"/>
                <w:szCs w:val="20"/>
              </w:rPr>
              <w:t>4</w:t>
            </w:r>
          </w:p>
        </w:tc>
      </w:tr>
      <w:tr w:rsidR="002D3FD4" w:rsidRPr="00B07091" w14:paraId="4CBF9C4A" w14:textId="77777777" w:rsidTr="002B751B">
        <w:trPr>
          <w:trHeight w:val="340"/>
        </w:trPr>
        <w:tc>
          <w:tcPr>
            <w:tcW w:w="1129" w:type="dxa"/>
            <w:vMerge w:val="restart"/>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0FA95CA" w14:textId="77777777" w:rsidR="002D3FD4" w:rsidRPr="00B07091" w:rsidRDefault="002D3FD4" w:rsidP="00E847A2">
            <w:pPr>
              <w:rPr>
                <w:sz w:val="18"/>
                <w:szCs w:val="18"/>
              </w:rPr>
            </w:pPr>
            <w:r w:rsidRPr="00B07091">
              <w:rPr>
                <w:rFonts w:ascii="Times New Roman" w:hAnsi="Times New Roman" w:cs="Times New Roman"/>
                <w:sz w:val="18"/>
                <w:szCs w:val="18"/>
              </w:rPr>
              <w:t>ln(</w:t>
            </w:r>
            <w:proofErr w:type="spellStart"/>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w:t>
            </w:r>
            <w:proofErr w:type="spellEnd"/>
            <w:r w:rsidRPr="00B07091">
              <w:rPr>
                <w:rFonts w:ascii="Times New Roman" w:hAnsi="Times New Roman" w:cs="Times New Roman"/>
                <w:sz w:val="18"/>
                <w:szCs w:val="18"/>
              </w:rPr>
              <w:t>) =</w:t>
            </w:r>
          </w:p>
        </w:tc>
        <w:tc>
          <w:tcPr>
            <w:tcW w:w="279" w:type="dxa"/>
            <w:vMerge w:val="restart"/>
            <w:tcBorders>
              <w:top w:val="nil"/>
              <w:left w:val="nil"/>
              <w:bottom w:val="nil"/>
              <w:right w:val="nil"/>
            </w:tcBorders>
            <w:vAlign w:val="center"/>
          </w:tcPr>
          <w:p w14:paraId="18512B52" w14:textId="77777777" w:rsidR="002D3FD4" w:rsidRPr="00B07091" w:rsidRDefault="002D3FD4" w:rsidP="00E847A2">
            <w:pPr>
              <w:rPr>
                <w:sz w:val="56"/>
                <w:szCs w:val="56"/>
              </w:rPr>
            </w:pPr>
            <w:r w:rsidRPr="00B07091">
              <w:rPr>
                <w:sz w:val="56"/>
                <w:szCs w:val="56"/>
              </w:rPr>
              <w:t>{</w:t>
            </w:r>
          </w:p>
        </w:tc>
        <w:tc>
          <w:tcPr>
            <w:tcW w:w="7092" w:type="dxa"/>
            <w:tcBorders>
              <w:top w:val="nil"/>
              <w:left w:val="nil"/>
              <w:bottom w:val="nil"/>
              <w:right w:val="nil"/>
            </w:tcBorders>
            <w:shd w:val="clear" w:color="auto" w:fill="auto"/>
            <w:tcMar>
              <w:top w:w="72" w:type="dxa"/>
              <w:left w:w="144" w:type="dxa"/>
              <w:bottom w:w="72" w:type="dxa"/>
              <w:right w:w="144" w:type="dxa"/>
            </w:tcMar>
          </w:tcPr>
          <w:p w14:paraId="7CF7A075" w14:textId="1358BA01" w:rsidR="002D3FD4" w:rsidRPr="00B07091" w:rsidRDefault="002D3FD4" w:rsidP="00D627C7">
            <w:pPr>
              <w:ind w:right="141"/>
              <w:rPr>
                <w:sz w:val="18"/>
                <w:szCs w:val="18"/>
              </w:rPr>
            </w:pPr>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i,0</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i,i</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i,j</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j,yr-1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i,st</w:t>
            </w:r>
            <w:r w:rsidRPr="00B07091">
              <w:rPr>
                <w:rFonts w:ascii="Times New Roman" w:hAnsi="Times New Roman" w:cs="Times New Roman"/>
                <w:sz w:val="18"/>
                <w:szCs w:val="18"/>
              </w:rPr>
              <w:t>·ST</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i,nao</w:t>
            </w:r>
            <w:r w:rsidRPr="00B07091">
              <w:rPr>
                <w:rFonts w:ascii="Times New Roman" w:hAnsi="Times New Roman" w:cs="Times New Roman"/>
                <w:sz w:val="18"/>
                <w:szCs w:val="18"/>
              </w:rPr>
              <w:t>·wNAO</w:t>
            </w:r>
            <w:r w:rsidRPr="00B07091">
              <w:rPr>
                <w:rFonts w:ascii="Times New Roman" w:hAnsi="Times New Roman" w:cs="Times New Roman"/>
                <w:sz w:val="18"/>
                <w:szCs w:val="18"/>
                <w:vertAlign w:val="subscript"/>
              </w:rPr>
              <w:t xml:space="preserve">yr-1 </w:t>
            </w:r>
            <w:r w:rsidRPr="00B07091">
              <w:rPr>
                <w:rFonts w:ascii="Times New Roman" w:hAnsi="Times New Roman" w:cs="Times New Roman"/>
                <w:sz w:val="18"/>
                <w:szCs w:val="18"/>
              </w:rPr>
              <w:t xml:space="preserve">+ </w:t>
            </w:r>
            <w:proofErr w:type="spellStart"/>
            <w:r w:rsidRPr="00B07091">
              <w:rPr>
                <w:rFonts w:ascii="Times New Roman" w:hAnsi="Times New Roman" w:cs="Times New Roman"/>
                <w:sz w:val="18"/>
                <w:szCs w:val="18"/>
              </w:rPr>
              <w:t>ε</w:t>
            </w:r>
            <w:r w:rsidRPr="00B07091">
              <w:rPr>
                <w:rFonts w:ascii="Times New Roman" w:hAnsi="Times New Roman" w:cs="Times New Roman"/>
                <w:sz w:val="18"/>
                <w:szCs w:val="18"/>
                <w:vertAlign w:val="subscript"/>
              </w:rPr>
              <w:t>i</w:t>
            </w:r>
            <w:r w:rsidR="00F653BD" w:rsidRPr="00B07091">
              <w:rPr>
                <w:rFonts w:ascii="Times New Roman" w:hAnsi="Times New Roman" w:cs="Times New Roman"/>
                <w:sz w:val="18"/>
                <w:szCs w:val="18"/>
                <w:vertAlign w:val="subscript"/>
              </w:rPr>
              <w:t>,yr</w:t>
            </w:r>
            <w:proofErr w:type="spellEnd"/>
            <w:r w:rsidRPr="00B07091">
              <w:rPr>
                <w:rFonts w:ascii="Times New Roman" w:hAnsi="Times New Roman" w:cs="Times New Roman"/>
                <w:sz w:val="18"/>
                <w:szCs w:val="18"/>
              </w:rPr>
              <w:t xml:space="preserve">, if </w:t>
            </w:r>
            <w:r w:rsidR="00DE29E3" w:rsidRPr="00B07091">
              <w:rPr>
                <w:rFonts w:ascii="Times New Roman" w:hAnsi="Times New Roman" w:cs="Times New Roman"/>
                <w:sz w:val="18"/>
                <w:szCs w:val="18"/>
              </w:rPr>
              <w:t>ln(N</w:t>
            </w:r>
            <w:r w:rsidR="00DE29E3" w:rsidRPr="00B07091">
              <w:rPr>
                <w:rFonts w:ascii="Times New Roman" w:hAnsi="Times New Roman" w:cs="Times New Roman"/>
                <w:sz w:val="18"/>
                <w:szCs w:val="18"/>
                <w:vertAlign w:val="subscript"/>
              </w:rPr>
              <w:t>j,yr-1</w:t>
            </w:r>
            <w:r w:rsidR="00DE29E3" w:rsidRPr="00B07091">
              <w:rPr>
                <w:rFonts w:ascii="Times New Roman" w:hAnsi="Times New Roman" w:cs="Times New Roman"/>
                <w:sz w:val="18"/>
                <w:szCs w:val="18"/>
              </w:rPr>
              <w:t>)</w:t>
            </w:r>
            <w:r w:rsidR="00B662FC" w:rsidRPr="00B07091">
              <w:rPr>
                <w:rFonts w:ascii="Times New Roman" w:hAnsi="Times New Roman" w:cs="Times New Roman"/>
                <w:sz w:val="18"/>
                <w:szCs w:val="18"/>
              </w:rPr>
              <w:t xml:space="preserve"> </w:t>
            </w:r>
            <w:r w:rsidRPr="00B07091">
              <w:rPr>
                <w:rFonts w:ascii="Times New Roman" w:hAnsi="Times New Roman" w:cs="Times New Roman"/>
                <w:sz w:val="18"/>
                <w:szCs w:val="18"/>
              </w:rPr>
              <w:t>&lt; θ</w:t>
            </w:r>
          </w:p>
        </w:tc>
        <w:tc>
          <w:tcPr>
            <w:tcW w:w="406" w:type="dxa"/>
            <w:vMerge w:val="restart"/>
            <w:tcBorders>
              <w:top w:val="nil"/>
              <w:left w:val="nil"/>
              <w:bottom w:val="single" w:sz="4" w:space="0" w:color="auto"/>
              <w:right w:val="nil"/>
            </w:tcBorders>
            <w:vAlign w:val="center"/>
          </w:tcPr>
          <w:p w14:paraId="42D3A722" w14:textId="77777777" w:rsidR="002D3FD4" w:rsidRPr="00B07091" w:rsidRDefault="002D3FD4" w:rsidP="00E847A2">
            <w:pPr>
              <w:jc w:val="center"/>
              <w:rPr>
                <w:sz w:val="20"/>
                <w:szCs w:val="20"/>
              </w:rPr>
            </w:pPr>
            <w:r w:rsidRPr="00B07091">
              <w:rPr>
                <w:sz w:val="20"/>
                <w:szCs w:val="20"/>
              </w:rPr>
              <w:t>5</w:t>
            </w:r>
          </w:p>
        </w:tc>
      </w:tr>
      <w:tr w:rsidR="002D3FD4" w:rsidRPr="00B07091" w14:paraId="73F9BE61" w14:textId="77777777" w:rsidTr="002B751B">
        <w:trPr>
          <w:trHeight w:val="340"/>
        </w:trPr>
        <w:tc>
          <w:tcPr>
            <w:tcW w:w="1129" w:type="dxa"/>
            <w:vMerge/>
            <w:tcBorders>
              <w:top w:val="nil"/>
              <w:left w:val="nil"/>
              <w:bottom w:val="single" w:sz="4" w:space="0" w:color="auto"/>
              <w:right w:val="nil"/>
            </w:tcBorders>
            <w:shd w:val="clear" w:color="auto" w:fill="auto"/>
            <w:tcMar>
              <w:top w:w="72" w:type="dxa"/>
              <w:left w:w="144" w:type="dxa"/>
              <w:bottom w:w="72" w:type="dxa"/>
              <w:right w:w="144" w:type="dxa"/>
            </w:tcMar>
            <w:hideMark/>
          </w:tcPr>
          <w:p w14:paraId="6DDBB406" w14:textId="77777777" w:rsidR="002D3FD4" w:rsidRPr="00B07091" w:rsidRDefault="002D3FD4" w:rsidP="00E847A2">
            <w:pPr>
              <w:rPr>
                <w:sz w:val="18"/>
                <w:szCs w:val="18"/>
              </w:rPr>
            </w:pPr>
          </w:p>
        </w:tc>
        <w:tc>
          <w:tcPr>
            <w:tcW w:w="279" w:type="dxa"/>
            <w:vMerge/>
            <w:tcBorders>
              <w:top w:val="nil"/>
              <w:left w:val="nil"/>
              <w:right w:val="nil"/>
            </w:tcBorders>
          </w:tcPr>
          <w:p w14:paraId="20962EA9" w14:textId="77777777" w:rsidR="002D3FD4" w:rsidRPr="00B07091" w:rsidRDefault="002D3FD4" w:rsidP="00E847A2">
            <w:pPr>
              <w:rPr>
                <w:sz w:val="18"/>
                <w:szCs w:val="18"/>
              </w:rPr>
            </w:pPr>
          </w:p>
        </w:tc>
        <w:tc>
          <w:tcPr>
            <w:tcW w:w="7092" w:type="dxa"/>
            <w:tcBorders>
              <w:top w:val="nil"/>
              <w:left w:val="nil"/>
              <w:bottom w:val="single" w:sz="4" w:space="0" w:color="auto"/>
              <w:right w:val="nil"/>
            </w:tcBorders>
            <w:shd w:val="clear" w:color="auto" w:fill="auto"/>
            <w:tcMar>
              <w:top w:w="72" w:type="dxa"/>
              <w:left w:w="144" w:type="dxa"/>
              <w:bottom w:w="72" w:type="dxa"/>
              <w:right w:w="144" w:type="dxa"/>
            </w:tcMar>
          </w:tcPr>
          <w:p w14:paraId="3C88D333" w14:textId="738AB0AB" w:rsidR="002D3FD4" w:rsidRPr="00B07091" w:rsidRDefault="002D3FD4" w:rsidP="00E847A2">
            <w:pPr>
              <w:ind w:right="141"/>
              <w:rPr>
                <w:sz w:val="18"/>
                <w:szCs w:val="18"/>
              </w:rPr>
            </w:pPr>
            <w:r w:rsidRPr="00B07091">
              <w:rPr>
                <w:rFonts w:ascii="Times New Roman" w:hAnsi="Times New Roman" w:cs="Times New Roman"/>
                <w:sz w:val="18"/>
                <w:szCs w:val="18"/>
              </w:rPr>
              <w:t>b</w:t>
            </w:r>
            <w:r w:rsidRPr="00B07091">
              <w:rPr>
                <w:rFonts w:ascii="Times New Roman" w:hAnsi="Times New Roman" w:cs="Times New Roman"/>
                <w:sz w:val="18"/>
                <w:szCs w:val="18"/>
                <w:vertAlign w:val="subscript"/>
              </w:rPr>
              <w:t>i,0</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a</w:t>
            </w:r>
            <w:r w:rsidRPr="00B07091">
              <w:rPr>
                <w:rFonts w:ascii="Times New Roman" w:hAnsi="Times New Roman" w:cs="Times New Roman"/>
                <w:sz w:val="18"/>
                <w:szCs w:val="18"/>
                <w:vertAlign w:val="subscript"/>
              </w:rPr>
              <w:t>i,i</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i,yr-1</w:t>
            </w:r>
            <w:r w:rsidRPr="00B07091">
              <w:rPr>
                <w:rFonts w:ascii="Times New Roman" w:hAnsi="Times New Roman" w:cs="Times New Roman"/>
                <w:sz w:val="18"/>
                <w:szCs w:val="18"/>
              </w:rPr>
              <w:t xml:space="preserve">) + </w:t>
            </w:r>
            <w:proofErr w:type="spellStart"/>
            <w:r w:rsidRPr="00B07091">
              <w:rPr>
                <w:rFonts w:ascii="Times New Roman" w:hAnsi="Times New Roman" w:cs="Times New Roman"/>
                <w:sz w:val="18"/>
                <w:szCs w:val="18"/>
              </w:rPr>
              <w:t>b</w:t>
            </w:r>
            <w:r w:rsidRPr="00B07091">
              <w:rPr>
                <w:rFonts w:ascii="Times New Roman" w:hAnsi="Times New Roman" w:cs="Times New Roman"/>
                <w:sz w:val="18"/>
                <w:szCs w:val="18"/>
                <w:vertAlign w:val="subscript"/>
              </w:rPr>
              <w:t>i,j</w:t>
            </w:r>
            <w:r w:rsidRPr="00B07091">
              <w:rPr>
                <w:rFonts w:ascii="Times New Roman" w:hAnsi="Times New Roman" w:cs="Times New Roman"/>
                <w:sz w:val="18"/>
                <w:szCs w:val="18"/>
              </w:rPr>
              <w:t>·ln</w:t>
            </w:r>
            <w:proofErr w:type="spellEnd"/>
            <w:r w:rsidRPr="00B07091">
              <w:rPr>
                <w:rFonts w:ascii="Times New Roman" w:hAnsi="Times New Roman" w:cs="Times New Roman"/>
                <w:sz w:val="18"/>
                <w:szCs w:val="18"/>
              </w:rPr>
              <w:t>(N</w:t>
            </w:r>
            <w:r w:rsidRPr="00B07091">
              <w:rPr>
                <w:rFonts w:ascii="Times New Roman" w:hAnsi="Times New Roman" w:cs="Times New Roman"/>
                <w:sz w:val="18"/>
                <w:szCs w:val="18"/>
                <w:vertAlign w:val="subscript"/>
              </w:rPr>
              <w:t>j,yr-1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i,st</w:t>
            </w:r>
            <w:r w:rsidRPr="00B07091">
              <w:rPr>
                <w:rFonts w:ascii="Times New Roman" w:hAnsi="Times New Roman" w:cs="Times New Roman"/>
                <w:sz w:val="18"/>
                <w:szCs w:val="18"/>
              </w:rPr>
              <w:t>·ST</w:t>
            </w:r>
            <w:r w:rsidRPr="00B07091">
              <w:rPr>
                <w:rFonts w:ascii="Times New Roman" w:hAnsi="Times New Roman" w:cs="Times New Roman"/>
                <w:sz w:val="18"/>
                <w:szCs w:val="18"/>
                <w:vertAlign w:val="subscript"/>
              </w:rPr>
              <w:t>yr-1</w:t>
            </w:r>
            <w:r w:rsidRPr="00B07091">
              <w:rPr>
                <w:rFonts w:ascii="Times New Roman" w:hAnsi="Times New Roman" w:cs="Times New Roman"/>
                <w:sz w:val="18"/>
                <w:szCs w:val="18"/>
              </w:rPr>
              <w:t>+ a</w:t>
            </w:r>
            <w:r w:rsidRPr="00B07091">
              <w:rPr>
                <w:rFonts w:ascii="Times New Roman" w:hAnsi="Times New Roman" w:cs="Times New Roman"/>
                <w:sz w:val="18"/>
                <w:szCs w:val="18"/>
                <w:vertAlign w:val="subscript"/>
              </w:rPr>
              <w:t>i,nao</w:t>
            </w:r>
            <w:r w:rsidRPr="00B07091">
              <w:rPr>
                <w:rFonts w:ascii="Times New Roman" w:hAnsi="Times New Roman" w:cs="Times New Roman"/>
                <w:sz w:val="18"/>
                <w:szCs w:val="18"/>
              </w:rPr>
              <w:t>·wNAO</w:t>
            </w:r>
            <w:r w:rsidRPr="00B07091">
              <w:rPr>
                <w:rFonts w:ascii="Times New Roman" w:hAnsi="Times New Roman" w:cs="Times New Roman"/>
                <w:sz w:val="18"/>
                <w:szCs w:val="18"/>
                <w:vertAlign w:val="subscript"/>
              </w:rPr>
              <w:t xml:space="preserve">yr-1 </w:t>
            </w:r>
            <w:r w:rsidRPr="00B07091">
              <w:rPr>
                <w:rFonts w:ascii="Times New Roman" w:hAnsi="Times New Roman" w:cs="Times New Roman"/>
                <w:sz w:val="18"/>
                <w:szCs w:val="18"/>
              </w:rPr>
              <w:t xml:space="preserve">+ </w:t>
            </w:r>
            <w:proofErr w:type="spellStart"/>
            <w:r w:rsidRPr="00B07091">
              <w:rPr>
                <w:rFonts w:ascii="Times New Roman" w:hAnsi="Times New Roman" w:cs="Times New Roman"/>
                <w:sz w:val="18"/>
                <w:szCs w:val="18"/>
              </w:rPr>
              <w:t>ε</w:t>
            </w:r>
            <w:r w:rsidRPr="00B07091">
              <w:rPr>
                <w:rFonts w:ascii="Times New Roman" w:hAnsi="Times New Roman" w:cs="Times New Roman"/>
                <w:sz w:val="18"/>
                <w:szCs w:val="18"/>
                <w:vertAlign w:val="subscript"/>
              </w:rPr>
              <w:t>i</w:t>
            </w:r>
            <w:r w:rsidR="00F653BD" w:rsidRPr="00B07091">
              <w:rPr>
                <w:rFonts w:ascii="Times New Roman" w:hAnsi="Times New Roman" w:cs="Times New Roman"/>
                <w:sz w:val="18"/>
                <w:szCs w:val="18"/>
                <w:vertAlign w:val="subscript"/>
              </w:rPr>
              <w:t>,yr</w:t>
            </w:r>
            <w:proofErr w:type="spellEnd"/>
            <w:r w:rsidRPr="00B07091">
              <w:rPr>
                <w:rFonts w:ascii="Times New Roman" w:hAnsi="Times New Roman" w:cs="Times New Roman"/>
                <w:sz w:val="18"/>
                <w:szCs w:val="18"/>
              </w:rPr>
              <w:t>,</w:t>
            </w:r>
          </w:p>
        </w:tc>
        <w:tc>
          <w:tcPr>
            <w:tcW w:w="406" w:type="dxa"/>
            <w:vMerge/>
            <w:tcBorders>
              <w:top w:val="nil"/>
              <w:left w:val="nil"/>
              <w:bottom w:val="single" w:sz="4" w:space="0" w:color="auto"/>
              <w:right w:val="nil"/>
            </w:tcBorders>
            <w:vAlign w:val="center"/>
          </w:tcPr>
          <w:p w14:paraId="681B2224" w14:textId="77777777" w:rsidR="002D3FD4" w:rsidRPr="00B07091" w:rsidRDefault="002D3FD4" w:rsidP="00E847A2">
            <w:pPr>
              <w:jc w:val="center"/>
              <w:rPr>
                <w:sz w:val="20"/>
                <w:szCs w:val="20"/>
              </w:rPr>
            </w:pPr>
          </w:p>
        </w:tc>
      </w:tr>
    </w:tbl>
    <w:p w14:paraId="4F098061" w14:textId="77777777" w:rsidR="002D3FD4" w:rsidRPr="00B07091" w:rsidRDefault="002D3FD4" w:rsidP="002D3FD4">
      <w:pPr>
        <w:spacing w:after="0" w:line="240" w:lineRule="auto"/>
        <w:ind w:firstLine="720"/>
      </w:pPr>
    </w:p>
    <w:p w14:paraId="3A8EEDDE" w14:textId="0A5D7738" w:rsidR="002D3FD4" w:rsidRPr="00B07091" w:rsidRDefault="002D3FD4" w:rsidP="002D3FD4">
      <w:pPr>
        <w:spacing w:after="0" w:line="240" w:lineRule="auto"/>
      </w:pPr>
      <w:r w:rsidRPr="00B07091">
        <w:rPr>
          <w:rFonts w:ascii="Times New Roman" w:hAnsi="Times New Roman" w:cs="Times New Roman"/>
        </w:rPr>
        <w:t xml:space="preserve">With </w:t>
      </w:r>
      <w:proofErr w:type="spellStart"/>
      <w:r w:rsidRPr="00B07091">
        <w:rPr>
          <w:rFonts w:ascii="Times New Roman" w:hAnsi="Times New Roman" w:cs="Times New Roman"/>
        </w:rPr>
        <w:t>N</w:t>
      </w:r>
      <w:r w:rsidRPr="00B07091">
        <w:rPr>
          <w:rFonts w:ascii="Times New Roman" w:hAnsi="Times New Roman" w:cs="Times New Roman"/>
          <w:vertAlign w:val="subscript"/>
        </w:rPr>
        <w:t>i</w:t>
      </w:r>
      <w:proofErr w:type="gramStart"/>
      <w:r w:rsidRPr="00B07091">
        <w:rPr>
          <w:rFonts w:ascii="Times New Roman" w:hAnsi="Times New Roman" w:cs="Times New Roman"/>
          <w:vertAlign w:val="subscript"/>
        </w:rPr>
        <w:t>,yr</w:t>
      </w:r>
      <w:proofErr w:type="spellEnd"/>
      <w:proofErr w:type="gramEnd"/>
      <w:r w:rsidRPr="00B07091">
        <w:rPr>
          <w:rFonts w:ascii="Times New Roman" w:hAnsi="Times New Roman" w:cs="Times New Roman"/>
        </w:rPr>
        <w:t xml:space="preserve"> the abundance for the species </w:t>
      </w:r>
      <w:proofErr w:type="spellStart"/>
      <w:r w:rsidRPr="00B07091">
        <w:rPr>
          <w:rFonts w:ascii="Times New Roman" w:hAnsi="Times New Roman" w:cs="Times New Roman"/>
          <w:i/>
        </w:rPr>
        <w:t>i</w:t>
      </w:r>
      <w:proofErr w:type="spellEnd"/>
      <w:r w:rsidRPr="00B07091">
        <w:rPr>
          <w:rFonts w:ascii="Times New Roman" w:hAnsi="Times New Roman" w:cs="Times New Roman"/>
        </w:rPr>
        <w:t xml:space="preserve"> at year </w:t>
      </w:r>
      <w:r w:rsidRPr="00B07091">
        <w:rPr>
          <w:rFonts w:ascii="Times New Roman" w:hAnsi="Times New Roman" w:cs="Times New Roman"/>
          <w:i/>
        </w:rPr>
        <w:t>yr</w:t>
      </w:r>
      <w:r w:rsidRPr="00B07091">
        <w:rPr>
          <w:rFonts w:ascii="Times New Roman" w:hAnsi="Times New Roman" w:cs="Times New Roman"/>
        </w:rPr>
        <w:t xml:space="preserve">. Process error </w:t>
      </w:r>
      <w:proofErr w:type="spellStart"/>
      <w:r w:rsidRPr="00B07091">
        <w:rPr>
          <w:rFonts w:ascii="Times New Roman" w:hAnsi="Times New Roman" w:cs="Times New Roman"/>
        </w:rPr>
        <w:t>ε</w:t>
      </w:r>
      <w:r w:rsidRPr="00B07091">
        <w:rPr>
          <w:rFonts w:ascii="Times New Roman" w:hAnsi="Times New Roman" w:cs="Times New Roman"/>
          <w:vertAlign w:val="subscript"/>
        </w:rPr>
        <w:t>i</w:t>
      </w:r>
      <w:r w:rsidR="004B7BC5" w:rsidRPr="00B07091">
        <w:rPr>
          <w:rFonts w:ascii="Times New Roman" w:hAnsi="Times New Roman" w:cs="Times New Roman"/>
          <w:vertAlign w:val="subscript"/>
        </w:rPr>
        <w:t>,yr</w:t>
      </w:r>
      <w:proofErr w:type="spellEnd"/>
      <w:r w:rsidRPr="00B07091">
        <w:rPr>
          <w:rFonts w:ascii="Times New Roman" w:hAnsi="Times New Roman" w:cs="Times New Roman"/>
        </w:rPr>
        <w:t xml:space="preserve"> of the population </w:t>
      </w:r>
      <w:proofErr w:type="spellStart"/>
      <w:r w:rsidRPr="00B07091">
        <w:rPr>
          <w:rFonts w:ascii="Times New Roman" w:hAnsi="Times New Roman" w:cs="Times New Roman"/>
          <w:i/>
          <w:iCs/>
        </w:rPr>
        <w:t>i</w:t>
      </w:r>
      <w:proofErr w:type="spellEnd"/>
      <w:r w:rsidRPr="00B07091">
        <w:rPr>
          <w:rFonts w:ascii="Times New Roman" w:hAnsi="Times New Roman" w:cs="Times New Roman"/>
          <w:i/>
          <w:iCs/>
        </w:rPr>
        <w:t xml:space="preserve"> </w:t>
      </w:r>
      <w:r w:rsidRPr="00B07091">
        <w:rPr>
          <w:rFonts w:ascii="Times New Roman" w:hAnsi="Times New Roman" w:cs="Times New Roman"/>
        </w:rPr>
        <w:t>with variance σ</w:t>
      </w:r>
      <w:r w:rsidRPr="00B07091">
        <w:rPr>
          <w:rFonts w:ascii="Times New Roman" w:hAnsi="Times New Roman" w:cs="Times New Roman"/>
          <w:vertAlign w:val="superscript"/>
        </w:rPr>
        <w:t>2</w:t>
      </w:r>
      <w:r w:rsidRPr="00B07091">
        <w:rPr>
          <w:rFonts w:ascii="Times New Roman" w:hAnsi="Times New Roman" w:cs="Times New Roman"/>
          <w:vertAlign w:val="subscript"/>
        </w:rPr>
        <w:t>i,proc</w:t>
      </w:r>
      <w:r w:rsidRPr="00B07091">
        <w:rPr>
          <w:rFonts w:ascii="Times New Roman" w:hAnsi="Times New Roman" w:cs="Times New Roman"/>
        </w:rPr>
        <w:t>. Observation error ln(</w:t>
      </w:r>
      <w:proofErr w:type="spellStart"/>
      <w:r w:rsidRPr="00B07091">
        <w:rPr>
          <w:rFonts w:ascii="Times New Roman" w:hAnsi="Times New Roman" w:cs="Times New Roman"/>
        </w:rPr>
        <w:t>Obs</w:t>
      </w:r>
      <w:r w:rsidRPr="00B07091">
        <w:rPr>
          <w:rFonts w:ascii="Times New Roman" w:hAnsi="Times New Roman" w:cs="Times New Roman"/>
          <w:vertAlign w:val="subscript"/>
        </w:rPr>
        <w:t>i,yr</w:t>
      </w:r>
      <w:proofErr w:type="spellEnd"/>
      <w:r w:rsidRPr="00B07091">
        <w:rPr>
          <w:rFonts w:ascii="Times New Roman" w:hAnsi="Times New Roman" w:cs="Times New Roman"/>
        </w:rPr>
        <w:t xml:space="preserve">) of the population </w:t>
      </w:r>
      <w:proofErr w:type="spellStart"/>
      <w:r w:rsidRPr="00B07091">
        <w:rPr>
          <w:rFonts w:ascii="Times New Roman" w:hAnsi="Times New Roman" w:cs="Times New Roman"/>
          <w:i/>
          <w:iCs/>
        </w:rPr>
        <w:t>i</w:t>
      </w:r>
      <w:proofErr w:type="spellEnd"/>
      <w:r w:rsidRPr="00B07091">
        <w:rPr>
          <w:rFonts w:ascii="Times New Roman" w:hAnsi="Times New Roman" w:cs="Times New Roman"/>
          <w:i/>
          <w:iCs/>
        </w:rPr>
        <w:t xml:space="preserve"> </w:t>
      </w:r>
      <w:r w:rsidRPr="00B07091">
        <w:rPr>
          <w:rFonts w:ascii="Times New Roman" w:hAnsi="Times New Roman" w:cs="Times New Roman"/>
        </w:rPr>
        <w:t>with variance σ</w:t>
      </w:r>
      <w:r w:rsidRPr="00B07091">
        <w:rPr>
          <w:rFonts w:ascii="Times New Roman" w:hAnsi="Times New Roman" w:cs="Times New Roman"/>
          <w:vertAlign w:val="superscript"/>
        </w:rPr>
        <w:t>2</w:t>
      </w:r>
      <w:r w:rsidRPr="00B07091">
        <w:rPr>
          <w:rFonts w:ascii="Times New Roman" w:hAnsi="Times New Roman" w:cs="Times New Roman"/>
          <w:vertAlign w:val="subscript"/>
        </w:rPr>
        <w:t>i,obs</w:t>
      </w:r>
      <w:r w:rsidRPr="00B07091">
        <w:rPr>
          <w:rFonts w:ascii="Times New Roman" w:hAnsi="Times New Roman" w:cs="Times New Roman"/>
        </w:rPr>
        <w:t xml:space="preserve">. ST=sea temperature, </w:t>
      </w:r>
      <w:proofErr w:type="spellStart"/>
      <w:r w:rsidRPr="00B07091">
        <w:rPr>
          <w:rFonts w:ascii="Times New Roman" w:hAnsi="Times New Roman" w:cs="Times New Roman"/>
        </w:rPr>
        <w:t>wNAO</w:t>
      </w:r>
      <w:proofErr w:type="spellEnd"/>
      <w:r w:rsidRPr="00B07091">
        <w:rPr>
          <w:rFonts w:ascii="Times New Roman" w:hAnsi="Times New Roman" w:cs="Times New Roman"/>
        </w:rPr>
        <w:t xml:space="preserve"> = winter North Atlantic Oscillation, a or b =parameters</w:t>
      </w:r>
      <w:r w:rsidRPr="00B07091">
        <w:rPr>
          <w:rFonts w:ascii="Times New Roman" w:hAnsi="Times New Roman" w:cs="Times New Roman"/>
          <w:vertAlign w:val="subscript"/>
        </w:rPr>
        <w:t xml:space="preserve"> </w:t>
      </w:r>
      <w:r w:rsidRPr="00B07091">
        <w:rPr>
          <w:rFonts w:ascii="Times New Roman" w:hAnsi="Times New Roman" w:cs="Times New Roman"/>
        </w:rPr>
        <w:t>with the first subscript the modelled species and the second subscript the variable – environment or other species  –  affecting this species.</w:t>
      </w:r>
    </w:p>
    <w:p w14:paraId="1C929148" w14:textId="77777777" w:rsidR="002D3FD4" w:rsidRPr="00B07091" w:rsidRDefault="002D3FD4" w:rsidP="00893B5F">
      <w:pPr>
        <w:rPr>
          <w:b/>
        </w:rPr>
      </w:pPr>
    </w:p>
    <w:p w14:paraId="56EC4517" w14:textId="4F8951BD" w:rsidR="00893B5F" w:rsidRPr="00B07091" w:rsidRDefault="00893B5F" w:rsidP="00893B5F">
      <w:r w:rsidRPr="00B07091">
        <w:rPr>
          <w:b/>
        </w:rPr>
        <w:t xml:space="preserve">Table </w:t>
      </w:r>
      <w:r w:rsidR="00757B90" w:rsidRPr="00B07091">
        <w:rPr>
          <w:b/>
        </w:rPr>
        <w:t>2</w:t>
      </w:r>
      <w:r w:rsidRPr="00B07091">
        <w:rPr>
          <w:b/>
        </w:rPr>
        <w:t>.</w:t>
      </w:r>
      <w:r w:rsidRPr="00B07091">
        <w:t xml:space="preserve"> </w:t>
      </w:r>
      <w:r w:rsidR="00EC5D97" w:rsidRPr="00B07091">
        <w:t>E</w:t>
      </w:r>
      <w:r w:rsidRPr="00B07091">
        <w:t>stimated parameter</w:t>
      </w:r>
      <w:r w:rsidR="004109A8" w:rsidRPr="00B07091">
        <w:t>s</w:t>
      </w:r>
      <w:r w:rsidRPr="00B07091">
        <w:t xml:space="preserve"> for the </w:t>
      </w:r>
      <w:r w:rsidR="004109A8" w:rsidRPr="00B07091">
        <w:t>two</w:t>
      </w:r>
      <w:r w:rsidRPr="00B07091">
        <w:t xml:space="preserve"> models. </w:t>
      </w:r>
    </w:p>
    <w:tbl>
      <w:tblPr>
        <w:tblW w:w="6655" w:type="dxa"/>
        <w:jc w:val="center"/>
        <w:tblBorders>
          <w:top w:val="single" w:sz="4" w:space="0" w:color="auto"/>
          <w:bottom w:val="single" w:sz="4" w:space="0" w:color="auto"/>
        </w:tblBorders>
        <w:tblLook w:val="0000" w:firstRow="0" w:lastRow="0" w:firstColumn="0" w:lastColumn="0" w:noHBand="0" w:noVBand="0"/>
      </w:tblPr>
      <w:tblGrid>
        <w:gridCol w:w="1560"/>
        <w:gridCol w:w="2551"/>
        <w:gridCol w:w="1410"/>
        <w:gridCol w:w="1134"/>
      </w:tblGrid>
      <w:tr w:rsidR="00E41F0F" w:rsidRPr="00B07091" w14:paraId="0BECE8AC" w14:textId="77777777" w:rsidTr="00E41F0F">
        <w:trPr>
          <w:trHeight w:val="150"/>
          <w:jc w:val="center"/>
        </w:trPr>
        <w:tc>
          <w:tcPr>
            <w:tcW w:w="1560" w:type="dxa"/>
            <w:vMerge w:val="restart"/>
            <w:vAlign w:val="center"/>
          </w:tcPr>
          <w:p w14:paraId="41235CE5" w14:textId="6211A749" w:rsidR="00E41F0F" w:rsidRPr="00B07091" w:rsidRDefault="00E41F0F" w:rsidP="00893B5F">
            <w:pPr>
              <w:spacing w:after="0" w:line="240" w:lineRule="auto"/>
              <w:ind w:left="34" w:hanging="34"/>
              <w:rPr>
                <w:b/>
              </w:rPr>
            </w:pPr>
            <w:r w:rsidRPr="00B07091">
              <w:rPr>
                <w:b/>
              </w:rPr>
              <w:t>Stock</w:t>
            </w:r>
          </w:p>
        </w:tc>
        <w:tc>
          <w:tcPr>
            <w:tcW w:w="2551" w:type="dxa"/>
            <w:vMerge w:val="restart"/>
            <w:shd w:val="clear" w:color="auto" w:fill="auto"/>
            <w:noWrap/>
            <w:vAlign w:val="center"/>
          </w:tcPr>
          <w:p w14:paraId="04AF995B" w14:textId="5A4B7D60" w:rsidR="00E41F0F" w:rsidRPr="00B07091" w:rsidRDefault="00E41F0F" w:rsidP="00893B5F">
            <w:pPr>
              <w:spacing w:after="0" w:line="240" w:lineRule="auto"/>
              <w:rPr>
                <w:b/>
              </w:rPr>
            </w:pPr>
            <w:r w:rsidRPr="00B07091">
              <w:rPr>
                <w:b/>
              </w:rPr>
              <w:t>Parameter</w:t>
            </w:r>
          </w:p>
        </w:tc>
        <w:tc>
          <w:tcPr>
            <w:tcW w:w="1410" w:type="dxa"/>
            <w:vMerge w:val="restart"/>
            <w:shd w:val="clear" w:color="auto" w:fill="auto"/>
            <w:noWrap/>
            <w:vAlign w:val="center"/>
          </w:tcPr>
          <w:p w14:paraId="5F9AFB91" w14:textId="77777777" w:rsidR="00E41F0F" w:rsidRPr="00B07091" w:rsidRDefault="00E41F0F" w:rsidP="000434EA">
            <w:pPr>
              <w:spacing w:after="0" w:line="240" w:lineRule="auto"/>
              <w:jc w:val="center"/>
              <w:rPr>
                <w:b/>
              </w:rPr>
            </w:pPr>
            <w:r w:rsidRPr="00B07091">
              <w:rPr>
                <w:b/>
              </w:rPr>
              <w:t>Median estimate</w:t>
            </w:r>
          </w:p>
        </w:tc>
        <w:tc>
          <w:tcPr>
            <w:tcW w:w="1134" w:type="dxa"/>
            <w:tcBorders>
              <w:top w:val="single" w:sz="4" w:space="0" w:color="auto"/>
              <w:bottom w:val="nil"/>
            </w:tcBorders>
            <w:shd w:val="clear" w:color="auto" w:fill="auto"/>
            <w:noWrap/>
            <w:vAlign w:val="center"/>
          </w:tcPr>
          <w:p w14:paraId="36A5E471" w14:textId="42576219" w:rsidR="00E41F0F" w:rsidRPr="00B07091" w:rsidRDefault="00E41F0F" w:rsidP="000434EA">
            <w:pPr>
              <w:spacing w:after="0" w:line="240" w:lineRule="auto"/>
              <w:jc w:val="center"/>
              <w:rPr>
                <w:b/>
              </w:rPr>
            </w:pPr>
            <w:r>
              <w:rPr>
                <w:b/>
              </w:rPr>
              <w:t>%</w:t>
            </w:r>
          </w:p>
        </w:tc>
      </w:tr>
      <w:tr w:rsidR="00E41F0F" w:rsidRPr="00B07091" w14:paraId="2E083837" w14:textId="77777777" w:rsidTr="00E41F0F">
        <w:trPr>
          <w:trHeight w:val="150"/>
          <w:jc w:val="center"/>
        </w:trPr>
        <w:tc>
          <w:tcPr>
            <w:tcW w:w="1560" w:type="dxa"/>
            <w:vMerge/>
            <w:tcBorders>
              <w:bottom w:val="single" w:sz="4" w:space="0" w:color="auto"/>
            </w:tcBorders>
            <w:vAlign w:val="center"/>
          </w:tcPr>
          <w:p w14:paraId="1AA6C183" w14:textId="77777777" w:rsidR="00E41F0F" w:rsidRPr="00B07091" w:rsidRDefault="00E41F0F" w:rsidP="00893B5F">
            <w:pPr>
              <w:spacing w:after="0" w:line="240" w:lineRule="auto"/>
              <w:ind w:left="34" w:hanging="34"/>
              <w:rPr>
                <w:b/>
              </w:rPr>
            </w:pPr>
          </w:p>
        </w:tc>
        <w:tc>
          <w:tcPr>
            <w:tcW w:w="2551" w:type="dxa"/>
            <w:vMerge/>
            <w:tcBorders>
              <w:bottom w:val="single" w:sz="4" w:space="0" w:color="auto"/>
            </w:tcBorders>
            <w:shd w:val="clear" w:color="auto" w:fill="auto"/>
            <w:noWrap/>
            <w:vAlign w:val="center"/>
          </w:tcPr>
          <w:p w14:paraId="0A5A8CD2" w14:textId="77777777" w:rsidR="00E41F0F" w:rsidRPr="00B07091" w:rsidRDefault="00E41F0F" w:rsidP="00893B5F">
            <w:pPr>
              <w:spacing w:after="0" w:line="240" w:lineRule="auto"/>
              <w:rPr>
                <w:b/>
              </w:rPr>
            </w:pPr>
          </w:p>
        </w:tc>
        <w:tc>
          <w:tcPr>
            <w:tcW w:w="1410" w:type="dxa"/>
            <w:vMerge/>
            <w:tcBorders>
              <w:bottom w:val="single" w:sz="4" w:space="0" w:color="auto"/>
            </w:tcBorders>
            <w:shd w:val="clear" w:color="auto" w:fill="auto"/>
            <w:noWrap/>
            <w:vAlign w:val="center"/>
          </w:tcPr>
          <w:p w14:paraId="4ED8F9AD" w14:textId="77777777" w:rsidR="00E41F0F" w:rsidRPr="00B07091" w:rsidRDefault="00E41F0F" w:rsidP="000434EA">
            <w:pPr>
              <w:spacing w:after="0" w:line="240" w:lineRule="auto"/>
              <w:jc w:val="center"/>
              <w:rPr>
                <w:b/>
              </w:rPr>
            </w:pPr>
          </w:p>
        </w:tc>
        <w:tc>
          <w:tcPr>
            <w:tcW w:w="1134" w:type="dxa"/>
            <w:tcBorders>
              <w:top w:val="nil"/>
              <w:bottom w:val="single" w:sz="4" w:space="0" w:color="auto"/>
            </w:tcBorders>
            <w:shd w:val="clear" w:color="auto" w:fill="auto"/>
            <w:noWrap/>
            <w:vAlign w:val="center"/>
          </w:tcPr>
          <w:p w14:paraId="74EF542F" w14:textId="2D5B2775" w:rsidR="00E41F0F" w:rsidRPr="00B07091" w:rsidRDefault="00E41F0F" w:rsidP="00101FC5">
            <w:pPr>
              <w:spacing w:after="0" w:line="240" w:lineRule="auto"/>
              <w:jc w:val="center"/>
              <w:rPr>
                <w:b/>
              </w:rPr>
            </w:pPr>
            <w:r>
              <w:rPr>
                <w:b/>
              </w:rPr>
              <w:t>&gt; 0</w:t>
            </w:r>
          </w:p>
        </w:tc>
      </w:tr>
      <w:tr w:rsidR="00E41F0F" w:rsidRPr="00B07091" w14:paraId="53E14CC6" w14:textId="77777777" w:rsidTr="00E41F0F">
        <w:trPr>
          <w:trHeight w:val="255"/>
          <w:jc w:val="center"/>
        </w:trPr>
        <w:tc>
          <w:tcPr>
            <w:tcW w:w="1560" w:type="dxa"/>
            <w:vMerge w:val="restart"/>
          </w:tcPr>
          <w:p w14:paraId="0C615CF1" w14:textId="77777777" w:rsidR="00E41F0F" w:rsidRPr="00B07091" w:rsidRDefault="00E41F0F" w:rsidP="00E41F0F">
            <w:pPr>
              <w:tabs>
                <w:tab w:val="left" w:pos="720"/>
              </w:tabs>
              <w:spacing w:after="0" w:line="240" w:lineRule="auto"/>
              <w:ind w:left="34" w:hanging="34"/>
            </w:pPr>
            <w:r w:rsidRPr="00B07091">
              <w:t>NEA cod</w:t>
            </w:r>
          </w:p>
        </w:tc>
        <w:tc>
          <w:tcPr>
            <w:tcW w:w="2551" w:type="dxa"/>
            <w:shd w:val="clear" w:color="auto" w:fill="auto"/>
            <w:noWrap/>
            <w:vAlign w:val="center"/>
          </w:tcPr>
          <w:p w14:paraId="0E373D8E" w14:textId="0F8A0145" w:rsidR="00E41F0F" w:rsidRPr="00B07091" w:rsidRDefault="00E41F0F" w:rsidP="00E41F0F">
            <w:pPr>
              <w:tabs>
                <w:tab w:val="left" w:pos="720"/>
              </w:tabs>
              <w:spacing w:after="0" w:line="240" w:lineRule="auto"/>
            </w:pPr>
            <w:r w:rsidRPr="00B07091">
              <w:t>a</w:t>
            </w:r>
            <w:r w:rsidRPr="00B07091">
              <w:rPr>
                <w:vertAlign w:val="subscript"/>
              </w:rPr>
              <w:t xml:space="preserve">cod,0 </w:t>
            </w:r>
            <w:r w:rsidRPr="00B07091">
              <w:t>(cap &lt; θ)</w:t>
            </w:r>
          </w:p>
        </w:tc>
        <w:tc>
          <w:tcPr>
            <w:tcW w:w="1410" w:type="dxa"/>
            <w:shd w:val="clear" w:color="auto" w:fill="auto"/>
            <w:noWrap/>
            <w:vAlign w:val="bottom"/>
          </w:tcPr>
          <w:p w14:paraId="7841264E" w14:textId="3876CBAA" w:rsidR="00E41F0F" w:rsidRPr="00B07091" w:rsidRDefault="00E41F0F" w:rsidP="00E41F0F">
            <w:pPr>
              <w:tabs>
                <w:tab w:val="left" w:pos="849"/>
              </w:tabs>
              <w:spacing w:after="0" w:line="240" w:lineRule="auto"/>
              <w:jc w:val="center"/>
            </w:pPr>
            <w:r w:rsidRPr="00B07091">
              <w:rPr>
                <w:rFonts w:ascii="Calibri" w:hAnsi="Calibri" w:cs="Calibri"/>
                <w:color w:val="000000"/>
              </w:rPr>
              <w:t>0.94</w:t>
            </w:r>
          </w:p>
        </w:tc>
        <w:tc>
          <w:tcPr>
            <w:tcW w:w="1134" w:type="dxa"/>
            <w:shd w:val="clear" w:color="auto" w:fill="auto"/>
            <w:noWrap/>
            <w:vAlign w:val="bottom"/>
          </w:tcPr>
          <w:p w14:paraId="7667879A" w14:textId="1D058D32" w:rsidR="00E41F0F" w:rsidRPr="00B07091" w:rsidRDefault="00E41F0F" w:rsidP="00E41F0F">
            <w:pPr>
              <w:tabs>
                <w:tab w:val="left" w:pos="849"/>
              </w:tabs>
              <w:spacing w:after="0" w:line="240" w:lineRule="auto"/>
              <w:jc w:val="center"/>
            </w:pPr>
            <w:r>
              <w:rPr>
                <w:rFonts w:ascii="Calibri" w:hAnsi="Calibri" w:cs="Calibri"/>
                <w:color w:val="000000"/>
              </w:rPr>
              <w:t>71</w:t>
            </w:r>
          </w:p>
        </w:tc>
      </w:tr>
      <w:tr w:rsidR="00E41F0F" w:rsidRPr="00B07091" w14:paraId="57E9940E" w14:textId="77777777" w:rsidTr="00E41F0F">
        <w:trPr>
          <w:trHeight w:val="255"/>
          <w:jc w:val="center"/>
        </w:trPr>
        <w:tc>
          <w:tcPr>
            <w:tcW w:w="1560" w:type="dxa"/>
            <w:vMerge/>
          </w:tcPr>
          <w:p w14:paraId="054B38DA" w14:textId="77777777" w:rsidR="00E41F0F" w:rsidRPr="00B07091" w:rsidRDefault="00E41F0F" w:rsidP="00E41F0F">
            <w:pPr>
              <w:spacing w:after="0" w:line="240" w:lineRule="auto"/>
              <w:ind w:left="34" w:hanging="34"/>
            </w:pPr>
          </w:p>
        </w:tc>
        <w:tc>
          <w:tcPr>
            <w:tcW w:w="2551" w:type="dxa"/>
            <w:shd w:val="clear" w:color="auto" w:fill="auto"/>
            <w:noWrap/>
            <w:vAlign w:val="center"/>
          </w:tcPr>
          <w:p w14:paraId="31D0AC68" w14:textId="1126B412" w:rsidR="00E41F0F" w:rsidRPr="00B07091" w:rsidRDefault="00E41F0F" w:rsidP="00E41F0F">
            <w:pPr>
              <w:spacing w:after="0" w:line="240" w:lineRule="auto"/>
            </w:pPr>
            <w:r w:rsidRPr="00B07091">
              <w:t>b</w:t>
            </w:r>
            <w:r w:rsidRPr="00B07091">
              <w:rPr>
                <w:vertAlign w:val="subscript"/>
              </w:rPr>
              <w:t xml:space="preserve">cod,0 </w:t>
            </w:r>
            <w:r w:rsidRPr="00B07091">
              <w:t>(cap ≥ θ)</w:t>
            </w:r>
          </w:p>
        </w:tc>
        <w:tc>
          <w:tcPr>
            <w:tcW w:w="1410" w:type="dxa"/>
            <w:shd w:val="clear" w:color="auto" w:fill="auto"/>
            <w:noWrap/>
            <w:vAlign w:val="bottom"/>
          </w:tcPr>
          <w:p w14:paraId="2D72E7E0" w14:textId="54F7B44E" w:rsidR="00E41F0F" w:rsidRPr="00B07091" w:rsidRDefault="00E41F0F" w:rsidP="00E41F0F">
            <w:pPr>
              <w:tabs>
                <w:tab w:val="left" w:pos="849"/>
              </w:tabs>
              <w:spacing w:after="0" w:line="240" w:lineRule="auto"/>
              <w:jc w:val="center"/>
            </w:pPr>
            <w:r w:rsidRPr="00B07091">
              <w:rPr>
                <w:rFonts w:ascii="Calibri" w:hAnsi="Calibri" w:cs="Calibri"/>
                <w:color w:val="000000"/>
              </w:rPr>
              <w:t>-1.85</w:t>
            </w:r>
          </w:p>
        </w:tc>
        <w:tc>
          <w:tcPr>
            <w:tcW w:w="1134" w:type="dxa"/>
            <w:shd w:val="clear" w:color="auto" w:fill="auto"/>
            <w:noWrap/>
            <w:vAlign w:val="bottom"/>
          </w:tcPr>
          <w:p w14:paraId="2C364AE7" w14:textId="79067AE5" w:rsidR="00E41F0F" w:rsidRPr="00B07091" w:rsidRDefault="00E41F0F" w:rsidP="00E41F0F">
            <w:pPr>
              <w:tabs>
                <w:tab w:val="left" w:pos="849"/>
              </w:tabs>
              <w:spacing w:after="0" w:line="240" w:lineRule="auto"/>
              <w:jc w:val="center"/>
            </w:pPr>
            <w:r>
              <w:rPr>
                <w:rFonts w:ascii="Calibri" w:hAnsi="Calibri" w:cs="Calibri"/>
                <w:color w:val="000000"/>
              </w:rPr>
              <w:t>28</w:t>
            </w:r>
          </w:p>
        </w:tc>
      </w:tr>
      <w:tr w:rsidR="00E41F0F" w:rsidRPr="00B07091" w14:paraId="75215C77" w14:textId="77777777" w:rsidTr="00E41F0F">
        <w:trPr>
          <w:trHeight w:val="255"/>
          <w:jc w:val="center"/>
        </w:trPr>
        <w:tc>
          <w:tcPr>
            <w:tcW w:w="1560" w:type="dxa"/>
          </w:tcPr>
          <w:p w14:paraId="36E1C9E2" w14:textId="77777777" w:rsidR="00E41F0F" w:rsidRPr="00B07091" w:rsidRDefault="00E41F0F" w:rsidP="00E41F0F">
            <w:pPr>
              <w:spacing w:after="0" w:line="240" w:lineRule="auto"/>
              <w:ind w:left="34" w:hanging="34"/>
            </w:pPr>
          </w:p>
        </w:tc>
        <w:tc>
          <w:tcPr>
            <w:tcW w:w="2551" w:type="dxa"/>
            <w:shd w:val="clear" w:color="auto" w:fill="auto"/>
            <w:noWrap/>
            <w:vAlign w:val="center"/>
          </w:tcPr>
          <w:p w14:paraId="0F0AB30E" w14:textId="77777777" w:rsidR="00E41F0F" w:rsidRPr="00B07091" w:rsidRDefault="00E41F0F" w:rsidP="00E41F0F">
            <w:pPr>
              <w:spacing w:after="0" w:line="240" w:lineRule="auto"/>
            </w:pPr>
            <w:proofErr w:type="spellStart"/>
            <w:r w:rsidRPr="00B07091">
              <w:t>a</w:t>
            </w:r>
            <w:r w:rsidRPr="00B07091">
              <w:rPr>
                <w:vertAlign w:val="subscript"/>
              </w:rPr>
              <w:t>cod,cod</w:t>
            </w:r>
            <w:proofErr w:type="spellEnd"/>
            <w:r w:rsidRPr="00B07091">
              <w:rPr>
                <w:vertAlign w:val="subscript"/>
              </w:rPr>
              <w:t xml:space="preserve"> </w:t>
            </w:r>
          </w:p>
        </w:tc>
        <w:tc>
          <w:tcPr>
            <w:tcW w:w="1410" w:type="dxa"/>
            <w:shd w:val="clear" w:color="auto" w:fill="auto"/>
            <w:noWrap/>
            <w:vAlign w:val="bottom"/>
          </w:tcPr>
          <w:p w14:paraId="2883CC4C" w14:textId="7A38553D" w:rsidR="00E41F0F" w:rsidRPr="00B07091" w:rsidRDefault="00E41F0F" w:rsidP="00E41F0F">
            <w:pPr>
              <w:tabs>
                <w:tab w:val="left" w:pos="849"/>
              </w:tabs>
              <w:spacing w:after="0" w:line="240" w:lineRule="auto"/>
              <w:jc w:val="center"/>
            </w:pPr>
            <w:r w:rsidRPr="00B07091">
              <w:rPr>
                <w:rFonts w:ascii="Calibri" w:hAnsi="Calibri" w:cs="Calibri"/>
                <w:color w:val="000000"/>
              </w:rPr>
              <w:t>0.84</w:t>
            </w:r>
          </w:p>
        </w:tc>
        <w:tc>
          <w:tcPr>
            <w:tcW w:w="1134" w:type="dxa"/>
            <w:shd w:val="clear" w:color="auto" w:fill="auto"/>
            <w:noWrap/>
            <w:vAlign w:val="bottom"/>
          </w:tcPr>
          <w:p w14:paraId="63413987" w14:textId="08A5AB31" w:rsidR="00E41F0F" w:rsidRPr="00B07091" w:rsidRDefault="00E41F0F" w:rsidP="00E41F0F">
            <w:pPr>
              <w:tabs>
                <w:tab w:val="left" w:pos="849"/>
              </w:tabs>
              <w:spacing w:after="0" w:line="240" w:lineRule="auto"/>
              <w:jc w:val="center"/>
            </w:pPr>
            <w:r>
              <w:rPr>
                <w:rFonts w:ascii="Calibri" w:hAnsi="Calibri" w:cs="Calibri"/>
                <w:color w:val="000000"/>
              </w:rPr>
              <w:t>100</w:t>
            </w:r>
          </w:p>
        </w:tc>
      </w:tr>
      <w:tr w:rsidR="00E41F0F" w:rsidRPr="00B07091" w14:paraId="6EBECA9A" w14:textId="77777777" w:rsidTr="00E41F0F">
        <w:trPr>
          <w:trHeight w:val="255"/>
          <w:jc w:val="center"/>
        </w:trPr>
        <w:tc>
          <w:tcPr>
            <w:tcW w:w="1560" w:type="dxa"/>
          </w:tcPr>
          <w:p w14:paraId="1BE5378B" w14:textId="77777777" w:rsidR="00E41F0F" w:rsidRPr="00B07091" w:rsidRDefault="00E41F0F" w:rsidP="00E41F0F">
            <w:pPr>
              <w:tabs>
                <w:tab w:val="left" w:pos="720"/>
              </w:tabs>
              <w:spacing w:after="0" w:line="240" w:lineRule="auto"/>
              <w:ind w:left="34" w:hanging="34"/>
            </w:pPr>
          </w:p>
        </w:tc>
        <w:tc>
          <w:tcPr>
            <w:tcW w:w="2551" w:type="dxa"/>
            <w:shd w:val="clear" w:color="auto" w:fill="auto"/>
            <w:noWrap/>
            <w:vAlign w:val="center"/>
          </w:tcPr>
          <w:p w14:paraId="4390A224" w14:textId="4D9C7A00" w:rsidR="00E41F0F" w:rsidRPr="00B07091" w:rsidRDefault="00E41F0F" w:rsidP="00E41F0F">
            <w:pPr>
              <w:tabs>
                <w:tab w:val="left" w:pos="720"/>
              </w:tabs>
              <w:spacing w:after="0" w:line="240" w:lineRule="auto"/>
            </w:pPr>
            <w:proofErr w:type="spellStart"/>
            <w:r w:rsidRPr="00B07091">
              <w:t>a</w:t>
            </w:r>
            <w:r w:rsidRPr="00B07091">
              <w:rPr>
                <w:vertAlign w:val="subscript"/>
              </w:rPr>
              <w:t>cod,cap</w:t>
            </w:r>
            <w:proofErr w:type="spellEnd"/>
            <w:r w:rsidRPr="00B07091">
              <w:rPr>
                <w:vertAlign w:val="subscript"/>
              </w:rPr>
              <w:t xml:space="preserve"> </w:t>
            </w:r>
            <w:r w:rsidRPr="00B07091">
              <w:t>(cap</w:t>
            </w:r>
            <w:r w:rsidRPr="00B07091" w:rsidDel="00D3502B">
              <w:t xml:space="preserve"> </w:t>
            </w:r>
            <w:r w:rsidRPr="00B07091">
              <w:t xml:space="preserve"> &lt; θ</w:t>
            </w:r>
            <w:r w:rsidRPr="00B07091">
              <w:rPr>
                <w:vertAlign w:val="subscript"/>
              </w:rPr>
              <w:t xml:space="preserve"> </w:t>
            </w:r>
            <w:r w:rsidRPr="00B07091">
              <w:t>)</w:t>
            </w:r>
          </w:p>
        </w:tc>
        <w:tc>
          <w:tcPr>
            <w:tcW w:w="1410" w:type="dxa"/>
            <w:shd w:val="clear" w:color="auto" w:fill="auto"/>
            <w:noWrap/>
            <w:vAlign w:val="bottom"/>
          </w:tcPr>
          <w:p w14:paraId="1EA92655" w14:textId="7C12CC27" w:rsidR="00E41F0F" w:rsidRPr="00B07091" w:rsidRDefault="00E41F0F" w:rsidP="00E41F0F">
            <w:pPr>
              <w:tabs>
                <w:tab w:val="left" w:pos="849"/>
              </w:tabs>
              <w:spacing w:after="0" w:line="240" w:lineRule="auto"/>
              <w:jc w:val="center"/>
            </w:pPr>
            <w:r w:rsidRPr="00B07091">
              <w:rPr>
                <w:rFonts w:ascii="Calibri" w:hAnsi="Calibri" w:cs="Calibri"/>
                <w:color w:val="000000"/>
              </w:rPr>
              <w:t>0.03</w:t>
            </w:r>
          </w:p>
        </w:tc>
        <w:tc>
          <w:tcPr>
            <w:tcW w:w="1134" w:type="dxa"/>
            <w:shd w:val="clear" w:color="auto" w:fill="auto"/>
            <w:noWrap/>
            <w:vAlign w:val="bottom"/>
          </w:tcPr>
          <w:p w14:paraId="5A3049E4" w14:textId="56A51DFD" w:rsidR="00E41F0F" w:rsidRPr="00B07091" w:rsidRDefault="00E41F0F" w:rsidP="00E41F0F">
            <w:pPr>
              <w:tabs>
                <w:tab w:val="left" w:pos="849"/>
              </w:tabs>
              <w:spacing w:after="0" w:line="240" w:lineRule="auto"/>
              <w:jc w:val="center"/>
            </w:pPr>
            <w:r>
              <w:rPr>
                <w:rFonts w:ascii="Calibri" w:hAnsi="Calibri" w:cs="Calibri"/>
                <w:color w:val="000000"/>
              </w:rPr>
              <w:t>55</w:t>
            </w:r>
          </w:p>
        </w:tc>
      </w:tr>
      <w:tr w:rsidR="00E41F0F" w:rsidRPr="00B07091" w14:paraId="15F4CCC2" w14:textId="77777777" w:rsidTr="00E41F0F">
        <w:trPr>
          <w:trHeight w:val="255"/>
          <w:jc w:val="center"/>
        </w:trPr>
        <w:tc>
          <w:tcPr>
            <w:tcW w:w="1560" w:type="dxa"/>
          </w:tcPr>
          <w:p w14:paraId="286F62D1" w14:textId="77777777" w:rsidR="00E41F0F" w:rsidRPr="00B07091" w:rsidRDefault="00E41F0F" w:rsidP="00E41F0F">
            <w:pPr>
              <w:tabs>
                <w:tab w:val="left" w:pos="720"/>
              </w:tabs>
              <w:spacing w:after="0" w:line="240" w:lineRule="auto"/>
              <w:ind w:left="34" w:hanging="34"/>
            </w:pPr>
          </w:p>
        </w:tc>
        <w:tc>
          <w:tcPr>
            <w:tcW w:w="2551" w:type="dxa"/>
            <w:shd w:val="clear" w:color="auto" w:fill="auto"/>
            <w:noWrap/>
            <w:vAlign w:val="center"/>
          </w:tcPr>
          <w:p w14:paraId="542EC2EB" w14:textId="0794F159" w:rsidR="00E41F0F" w:rsidRPr="00B07091" w:rsidRDefault="00E41F0F" w:rsidP="00E41F0F">
            <w:pPr>
              <w:tabs>
                <w:tab w:val="left" w:pos="720"/>
              </w:tabs>
              <w:spacing w:after="0" w:line="240" w:lineRule="auto"/>
            </w:pPr>
            <w:proofErr w:type="spellStart"/>
            <w:r w:rsidRPr="00B07091">
              <w:t>b</w:t>
            </w:r>
            <w:r w:rsidRPr="00B07091">
              <w:rPr>
                <w:vertAlign w:val="subscript"/>
              </w:rPr>
              <w:t>cod,cap</w:t>
            </w:r>
            <w:proofErr w:type="spellEnd"/>
            <w:r w:rsidRPr="00B07091">
              <w:rPr>
                <w:vertAlign w:val="subscript"/>
              </w:rPr>
              <w:t xml:space="preserve"> </w:t>
            </w:r>
            <w:r w:rsidRPr="00B07091">
              <w:t>(cap</w:t>
            </w:r>
            <w:r w:rsidRPr="00B07091" w:rsidDel="00D3502B">
              <w:t xml:space="preserve"> </w:t>
            </w:r>
            <w:r w:rsidRPr="00B07091">
              <w:t xml:space="preserve"> ≥ θ</w:t>
            </w:r>
            <w:r w:rsidRPr="00B07091">
              <w:rPr>
                <w:vertAlign w:val="subscript"/>
              </w:rPr>
              <w:t xml:space="preserve"> </w:t>
            </w:r>
            <w:r w:rsidRPr="00B07091">
              <w:t>)</w:t>
            </w:r>
          </w:p>
        </w:tc>
        <w:tc>
          <w:tcPr>
            <w:tcW w:w="1410" w:type="dxa"/>
            <w:shd w:val="clear" w:color="auto" w:fill="auto"/>
            <w:noWrap/>
            <w:vAlign w:val="bottom"/>
          </w:tcPr>
          <w:p w14:paraId="20F886CB" w14:textId="673E19DA" w:rsidR="00E41F0F" w:rsidRPr="00B07091" w:rsidRDefault="00E41F0F" w:rsidP="00E41F0F">
            <w:pPr>
              <w:tabs>
                <w:tab w:val="left" w:pos="849"/>
              </w:tabs>
              <w:spacing w:after="0" w:line="240" w:lineRule="auto"/>
              <w:jc w:val="center"/>
            </w:pPr>
            <w:r w:rsidRPr="00B07091">
              <w:rPr>
                <w:rFonts w:ascii="Calibri" w:hAnsi="Calibri" w:cs="Calibri"/>
                <w:color w:val="000000"/>
              </w:rPr>
              <w:t>0.52</w:t>
            </w:r>
          </w:p>
        </w:tc>
        <w:tc>
          <w:tcPr>
            <w:tcW w:w="1134" w:type="dxa"/>
            <w:shd w:val="clear" w:color="auto" w:fill="auto"/>
            <w:noWrap/>
            <w:vAlign w:val="bottom"/>
          </w:tcPr>
          <w:p w14:paraId="7957CFEB" w14:textId="177C4CAD" w:rsidR="00E41F0F" w:rsidRPr="00B07091" w:rsidRDefault="00E41F0F" w:rsidP="00E41F0F">
            <w:pPr>
              <w:tabs>
                <w:tab w:val="left" w:pos="849"/>
              </w:tabs>
              <w:spacing w:after="0" w:line="240" w:lineRule="auto"/>
              <w:jc w:val="center"/>
            </w:pPr>
            <w:r>
              <w:rPr>
                <w:rFonts w:ascii="Calibri" w:hAnsi="Calibri" w:cs="Calibri"/>
                <w:color w:val="000000"/>
              </w:rPr>
              <w:t>88</w:t>
            </w:r>
          </w:p>
        </w:tc>
      </w:tr>
      <w:tr w:rsidR="00E41F0F" w:rsidRPr="00B07091" w14:paraId="463DE208" w14:textId="77777777" w:rsidTr="00E41F0F">
        <w:trPr>
          <w:trHeight w:val="255"/>
          <w:jc w:val="center"/>
        </w:trPr>
        <w:tc>
          <w:tcPr>
            <w:tcW w:w="1560" w:type="dxa"/>
          </w:tcPr>
          <w:p w14:paraId="6B5FE64C" w14:textId="77777777" w:rsidR="00E41F0F" w:rsidRPr="00B07091" w:rsidRDefault="00E41F0F" w:rsidP="00E41F0F">
            <w:pPr>
              <w:tabs>
                <w:tab w:val="left" w:pos="720"/>
              </w:tabs>
              <w:spacing w:after="0" w:line="240" w:lineRule="auto"/>
              <w:ind w:left="34" w:hanging="34"/>
            </w:pPr>
          </w:p>
        </w:tc>
        <w:tc>
          <w:tcPr>
            <w:tcW w:w="2551" w:type="dxa"/>
            <w:shd w:val="clear" w:color="auto" w:fill="auto"/>
            <w:noWrap/>
            <w:vAlign w:val="center"/>
          </w:tcPr>
          <w:p w14:paraId="5912D7CF" w14:textId="77777777" w:rsidR="00E41F0F" w:rsidRPr="00B07091" w:rsidRDefault="00E41F0F" w:rsidP="00E41F0F">
            <w:pPr>
              <w:tabs>
                <w:tab w:val="left" w:pos="720"/>
              </w:tabs>
              <w:spacing w:after="0" w:line="240" w:lineRule="auto"/>
            </w:pPr>
            <w:proofErr w:type="spellStart"/>
            <w:r w:rsidRPr="00B07091">
              <w:t>a</w:t>
            </w:r>
            <w:r w:rsidRPr="00B07091">
              <w:rPr>
                <w:vertAlign w:val="subscript"/>
              </w:rPr>
              <w:t>cod,st</w:t>
            </w:r>
            <w:proofErr w:type="spellEnd"/>
            <w:r w:rsidRPr="00B07091">
              <w:t xml:space="preserve"> </w:t>
            </w:r>
          </w:p>
        </w:tc>
        <w:tc>
          <w:tcPr>
            <w:tcW w:w="1410" w:type="dxa"/>
            <w:shd w:val="clear" w:color="auto" w:fill="auto"/>
            <w:noWrap/>
            <w:vAlign w:val="bottom"/>
          </w:tcPr>
          <w:p w14:paraId="42EE171C" w14:textId="6792AAC0" w:rsidR="00E41F0F" w:rsidRPr="00B07091" w:rsidRDefault="00E41F0F" w:rsidP="00E41F0F">
            <w:pPr>
              <w:tabs>
                <w:tab w:val="left" w:pos="849"/>
              </w:tabs>
              <w:spacing w:after="0" w:line="240" w:lineRule="auto"/>
              <w:jc w:val="center"/>
            </w:pPr>
            <w:r w:rsidRPr="00B07091">
              <w:rPr>
                <w:rFonts w:ascii="Calibri" w:hAnsi="Calibri" w:cs="Calibri"/>
                <w:color w:val="000000"/>
              </w:rPr>
              <w:t>0.06</w:t>
            </w:r>
          </w:p>
        </w:tc>
        <w:tc>
          <w:tcPr>
            <w:tcW w:w="1134" w:type="dxa"/>
            <w:shd w:val="clear" w:color="auto" w:fill="auto"/>
            <w:noWrap/>
            <w:vAlign w:val="bottom"/>
          </w:tcPr>
          <w:p w14:paraId="42F97120" w14:textId="1696538E" w:rsidR="00E41F0F" w:rsidRPr="00B07091" w:rsidRDefault="00E41F0F" w:rsidP="00E41F0F">
            <w:pPr>
              <w:tabs>
                <w:tab w:val="left" w:pos="849"/>
              </w:tabs>
              <w:spacing w:after="0" w:line="240" w:lineRule="auto"/>
              <w:jc w:val="center"/>
            </w:pPr>
            <w:r>
              <w:rPr>
                <w:rFonts w:ascii="Calibri" w:hAnsi="Calibri" w:cs="Calibri"/>
                <w:color w:val="000000"/>
              </w:rPr>
              <w:t>71</w:t>
            </w:r>
          </w:p>
        </w:tc>
      </w:tr>
      <w:tr w:rsidR="00E41F0F" w:rsidRPr="00B07091" w14:paraId="0C9253E7" w14:textId="77777777" w:rsidTr="00E41F0F">
        <w:trPr>
          <w:trHeight w:val="255"/>
          <w:jc w:val="center"/>
        </w:trPr>
        <w:tc>
          <w:tcPr>
            <w:tcW w:w="1560" w:type="dxa"/>
          </w:tcPr>
          <w:p w14:paraId="4F152FF6" w14:textId="77777777" w:rsidR="00E41F0F" w:rsidRPr="00B07091" w:rsidRDefault="00E41F0F" w:rsidP="00E41F0F">
            <w:pPr>
              <w:tabs>
                <w:tab w:val="left" w:pos="720"/>
              </w:tabs>
              <w:spacing w:after="0" w:line="240" w:lineRule="auto"/>
              <w:ind w:left="34" w:hanging="34"/>
            </w:pPr>
          </w:p>
        </w:tc>
        <w:tc>
          <w:tcPr>
            <w:tcW w:w="2551" w:type="dxa"/>
            <w:shd w:val="clear" w:color="auto" w:fill="auto"/>
            <w:noWrap/>
            <w:vAlign w:val="center"/>
          </w:tcPr>
          <w:p w14:paraId="7ADDCF26" w14:textId="77777777" w:rsidR="00E41F0F" w:rsidRPr="00B07091" w:rsidRDefault="00E41F0F" w:rsidP="00E41F0F">
            <w:pPr>
              <w:tabs>
                <w:tab w:val="left" w:pos="720"/>
              </w:tabs>
              <w:spacing w:line="240" w:lineRule="auto"/>
            </w:pPr>
            <w:proofErr w:type="spellStart"/>
            <w:r w:rsidRPr="00B07091">
              <w:t>a</w:t>
            </w:r>
            <w:r w:rsidRPr="00B07091">
              <w:rPr>
                <w:vertAlign w:val="subscript"/>
              </w:rPr>
              <w:t>cod,nao</w:t>
            </w:r>
            <w:proofErr w:type="spellEnd"/>
          </w:p>
        </w:tc>
        <w:tc>
          <w:tcPr>
            <w:tcW w:w="1410" w:type="dxa"/>
            <w:shd w:val="clear" w:color="auto" w:fill="auto"/>
            <w:noWrap/>
          </w:tcPr>
          <w:p w14:paraId="2A60DC64" w14:textId="3A891798" w:rsidR="00E41F0F" w:rsidRPr="00B07091" w:rsidRDefault="00E41F0F" w:rsidP="00E41F0F">
            <w:pPr>
              <w:tabs>
                <w:tab w:val="left" w:pos="849"/>
              </w:tabs>
              <w:spacing w:after="0" w:line="240" w:lineRule="auto"/>
              <w:jc w:val="center"/>
              <w:rPr>
                <w:rFonts w:ascii="Calibri" w:hAnsi="Calibri" w:cs="Calibri"/>
                <w:color w:val="000000"/>
              </w:rPr>
            </w:pPr>
            <w:r w:rsidRPr="00B07091">
              <w:rPr>
                <w:rFonts w:ascii="Calibri" w:hAnsi="Calibri" w:cs="Calibri"/>
                <w:color w:val="000000"/>
              </w:rPr>
              <w:t>0.05</w:t>
            </w:r>
          </w:p>
        </w:tc>
        <w:tc>
          <w:tcPr>
            <w:tcW w:w="1134" w:type="dxa"/>
            <w:shd w:val="clear" w:color="auto" w:fill="auto"/>
            <w:noWrap/>
          </w:tcPr>
          <w:p w14:paraId="60F3BE45" w14:textId="201025BC" w:rsidR="00E41F0F" w:rsidRPr="00B07091" w:rsidRDefault="00E41F0F" w:rsidP="00E41F0F">
            <w:pPr>
              <w:tabs>
                <w:tab w:val="left" w:pos="849"/>
              </w:tabs>
              <w:spacing w:after="0" w:line="240" w:lineRule="auto"/>
              <w:jc w:val="center"/>
              <w:rPr>
                <w:rFonts w:ascii="Calibri" w:hAnsi="Calibri" w:cs="Calibri"/>
                <w:color w:val="000000"/>
              </w:rPr>
            </w:pPr>
            <w:r>
              <w:rPr>
                <w:rFonts w:ascii="Calibri" w:hAnsi="Calibri" w:cs="Calibri"/>
                <w:color w:val="000000"/>
              </w:rPr>
              <w:t>81</w:t>
            </w:r>
          </w:p>
        </w:tc>
      </w:tr>
      <w:tr w:rsidR="00E41F0F" w:rsidRPr="00B07091" w14:paraId="2BE91A93" w14:textId="77777777" w:rsidTr="00E41F0F">
        <w:trPr>
          <w:trHeight w:val="255"/>
          <w:jc w:val="center"/>
        </w:trPr>
        <w:tc>
          <w:tcPr>
            <w:tcW w:w="1560" w:type="dxa"/>
            <w:tcBorders>
              <w:top w:val="nil"/>
            </w:tcBorders>
            <w:shd w:val="clear" w:color="auto" w:fill="D9D9D9" w:themeFill="background1" w:themeFillShade="D9"/>
          </w:tcPr>
          <w:p w14:paraId="64A9789E" w14:textId="77777777" w:rsidR="00E41F0F" w:rsidRPr="00B07091" w:rsidRDefault="00E41F0F" w:rsidP="00E41F0F">
            <w:pPr>
              <w:tabs>
                <w:tab w:val="left" w:pos="720"/>
              </w:tabs>
              <w:spacing w:after="0" w:line="240" w:lineRule="auto"/>
              <w:ind w:left="34" w:hanging="34"/>
            </w:pPr>
            <w:r w:rsidRPr="00B07091">
              <w:rPr>
                <w:rFonts w:cs="Arial"/>
              </w:rPr>
              <w:t>BS capelin</w:t>
            </w:r>
          </w:p>
        </w:tc>
        <w:tc>
          <w:tcPr>
            <w:tcW w:w="2551" w:type="dxa"/>
            <w:tcBorders>
              <w:top w:val="nil"/>
            </w:tcBorders>
            <w:shd w:val="clear" w:color="auto" w:fill="D9D9D9" w:themeFill="background1" w:themeFillShade="D9"/>
            <w:noWrap/>
            <w:vAlign w:val="center"/>
          </w:tcPr>
          <w:p w14:paraId="54852BF9" w14:textId="77777777" w:rsidR="00E41F0F" w:rsidRPr="00B07091" w:rsidRDefault="00E41F0F" w:rsidP="00E41F0F">
            <w:pPr>
              <w:tabs>
                <w:tab w:val="left" w:pos="720"/>
              </w:tabs>
              <w:spacing w:after="0" w:line="240" w:lineRule="auto"/>
            </w:pPr>
            <w:r w:rsidRPr="00B07091">
              <w:t>a</w:t>
            </w:r>
            <w:r w:rsidRPr="00B07091">
              <w:rPr>
                <w:vertAlign w:val="subscript"/>
              </w:rPr>
              <w:t xml:space="preserve">cap,0 </w:t>
            </w:r>
          </w:p>
        </w:tc>
        <w:tc>
          <w:tcPr>
            <w:tcW w:w="1410" w:type="dxa"/>
            <w:tcBorders>
              <w:top w:val="nil"/>
            </w:tcBorders>
            <w:shd w:val="clear" w:color="auto" w:fill="D9D9D9" w:themeFill="background1" w:themeFillShade="D9"/>
            <w:noWrap/>
            <w:vAlign w:val="bottom"/>
          </w:tcPr>
          <w:p w14:paraId="13F4E2DA" w14:textId="54FBE159" w:rsidR="00E41F0F" w:rsidRPr="00B07091" w:rsidRDefault="00E41F0F" w:rsidP="00E41F0F">
            <w:pPr>
              <w:tabs>
                <w:tab w:val="left" w:pos="849"/>
              </w:tabs>
              <w:spacing w:after="0" w:line="240" w:lineRule="auto"/>
              <w:jc w:val="center"/>
            </w:pPr>
            <w:r w:rsidRPr="00B07091">
              <w:rPr>
                <w:rFonts w:ascii="Calibri" w:hAnsi="Calibri" w:cs="Calibri"/>
                <w:color w:val="000000"/>
              </w:rPr>
              <w:t>5.74</w:t>
            </w:r>
          </w:p>
        </w:tc>
        <w:tc>
          <w:tcPr>
            <w:tcW w:w="1134" w:type="dxa"/>
            <w:tcBorders>
              <w:top w:val="nil"/>
            </w:tcBorders>
            <w:shd w:val="clear" w:color="auto" w:fill="D9D9D9" w:themeFill="background1" w:themeFillShade="D9"/>
            <w:noWrap/>
            <w:vAlign w:val="bottom"/>
          </w:tcPr>
          <w:p w14:paraId="34AF6E2F" w14:textId="26846B26" w:rsidR="00E41F0F" w:rsidRPr="00B07091" w:rsidRDefault="00E41F0F" w:rsidP="00E41F0F">
            <w:pPr>
              <w:tabs>
                <w:tab w:val="left" w:pos="849"/>
              </w:tabs>
              <w:spacing w:after="0" w:line="240" w:lineRule="auto"/>
              <w:jc w:val="center"/>
            </w:pPr>
            <w:r>
              <w:rPr>
                <w:rFonts w:ascii="Calibri" w:hAnsi="Calibri" w:cs="Calibri"/>
                <w:color w:val="000000"/>
              </w:rPr>
              <w:t>100</w:t>
            </w:r>
          </w:p>
        </w:tc>
      </w:tr>
      <w:tr w:rsidR="00E41F0F" w:rsidRPr="00B07091" w14:paraId="32326086" w14:textId="77777777" w:rsidTr="00E41F0F">
        <w:trPr>
          <w:trHeight w:val="255"/>
          <w:jc w:val="center"/>
        </w:trPr>
        <w:tc>
          <w:tcPr>
            <w:tcW w:w="1560" w:type="dxa"/>
            <w:shd w:val="clear" w:color="auto" w:fill="D9D9D9" w:themeFill="background1" w:themeFillShade="D9"/>
          </w:tcPr>
          <w:p w14:paraId="28AD3F76" w14:textId="77777777" w:rsidR="00E41F0F" w:rsidRPr="00B07091" w:rsidRDefault="00E41F0F" w:rsidP="00E41F0F">
            <w:pPr>
              <w:tabs>
                <w:tab w:val="left" w:pos="720"/>
              </w:tabs>
              <w:spacing w:after="0" w:line="240" w:lineRule="auto"/>
              <w:ind w:left="34" w:hanging="34"/>
            </w:pPr>
          </w:p>
        </w:tc>
        <w:tc>
          <w:tcPr>
            <w:tcW w:w="2551" w:type="dxa"/>
            <w:shd w:val="clear" w:color="auto" w:fill="D9D9D9" w:themeFill="background1" w:themeFillShade="D9"/>
            <w:noWrap/>
            <w:vAlign w:val="center"/>
          </w:tcPr>
          <w:p w14:paraId="19686557" w14:textId="77777777" w:rsidR="00E41F0F" w:rsidRPr="00B07091" w:rsidRDefault="00E41F0F" w:rsidP="00E41F0F">
            <w:pPr>
              <w:tabs>
                <w:tab w:val="left" w:pos="720"/>
              </w:tabs>
              <w:spacing w:after="0" w:line="240" w:lineRule="auto"/>
            </w:pPr>
            <w:proofErr w:type="spellStart"/>
            <w:r w:rsidRPr="00B07091">
              <w:t>a</w:t>
            </w:r>
            <w:r w:rsidRPr="00B07091">
              <w:rPr>
                <w:vertAlign w:val="subscript"/>
              </w:rPr>
              <w:t>cap,cap</w:t>
            </w:r>
            <w:proofErr w:type="spellEnd"/>
            <w:r w:rsidRPr="00B07091">
              <w:rPr>
                <w:vertAlign w:val="subscript"/>
              </w:rPr>
              <w:t xml:space="preserve"> </w:t>
            </w:r>
          </w:p>
        </w:tc>
        <w:tc>
          <w:tcPr>
            <w:tcW w:w="1410" w:type="dxa"/>
            <w:shd w:val="clear" w:color="auto" w:fill="D9D9D9" w:themeFill="background1" w:themeFillShade="D9"/>
            <w:noWrap/>
            <w:vAlign w:val="bottom"/>
          </w:tcPr>
          <w:p w14:paraId="55047B6B" w14:textId="18A4EDC3" w:rsidR="00E41F0F" w:rsidRPr="00B07091" w:rsidRDefault="00E41F0F" w:rsidP="00E41F0F">
            <w:pPr>
              <w:tabs>
                <w:tab w:val="left" w:pos="849"/>
              </w:tabs>
              <w:spacing w:after="0" w:line="240" w:lineRule="auto"/>
              <w:jc w:val="center"/>
            </w:pPr>
            <w:r w:rsidRPr="00B07091">
              <w:rPr>
                <w:rFonts w:ascii="Calibri" w:hAnsi="Calibri" w:cs="Calibri"/>
                <w:color w:val="000000"/>
              </w:rPr>
              <w:t>0.56</w:t>
            </w:r>
          </w:p>
        </w:tc>
        <w:tc>
          <w:tcPr>
            <w:tcW w:w="1134" w:type="dxa"/>
            <w:shd w:val="clear" w:color="auto" w:fill="D9D9D9" w:themeFill="background1" w:themeFillShade="D9"/>
            <w:noWrap/>
            <w:vAlign w:val="bottom"/>
          </w:tcPr>
          <w:p w14:paraId="27FF9648" w14:textId="410F6014" w:rsidR="00E41F0F" w:rsidRPr="00B07091" w:rsidRDefault="00E41F0F" w:rsidP="00E41F0F">
            <w:pPr>
              <w:tabs>
                <w:tab w:val="left" w:pos="849"/>
              </w:tabs>
              <w:spacing w:after="0" w:line="240" w:lineRule="auto"/>
              <w:jc w:val="center"/>
            </w:pPr>
            <w:r>
              <w:rPr>
                <w:rFonts w:ascii="Calibri" w:hAnsi="Calibri" w:cs="Calibri"/>
                <w:color w:val="000000"/>
              </w:rPr>
              <w:t>100</w:t>
            </w:r>
          </w:p>
        </w:tc>
      </w:tr>
      <w:tr w:rsidR="00E41F0F" w:rsidRPr="00B07091" w14:paraId="4C26C603" w14:textId="77777777" w:rsidTr="00E41F0F">
        <w:trPr>
          <w:trHeight w:val="255"/>
          <w:jc w:val="center"/>
        </w:trPr>
        <w:tc>
          <w:tcPr>
            <w:tcW w:w="1560" w:type="dxa"/>
            <w:shd w:val="clear" w:color="auto" w:fill="D9D9D9" w:themeFill="background1" w:themeFillShade="D9"/>
          </w:tcPr>
          <w:p w14:paraId="51ADCFDE" w14:textId="77777777" w:rsidR="00E41F0F" w:rsidRPr="00B07091" w:rsidRDefault="00E41F0F" w:rsidP="00E41F0F">
            <w:pPr>
              <w:tabs>
                <w:tab w:val="left" w:pos="720"/>
              </w:tabs>
              <w:spacing w:after="0" w:line="240" w:lineRule="auto"/>
              <w:ind w:left="34" w:hanging="34"/>
            </w:pPr>
          </w:p>
        </w:tc>
        <w:tc>
          <w:tcPr>
            <w:tcW w:w="2551" w:type="dxa"/>
            <w:shd w:val="clear" w:color="auto" w:fill="D9D9D9" w:themeFill="background1" w:themeFillShade="D9"/>
            <w:noWrap/>
            <w:vAlign w:val="center"/>
          </w:tcPr>
          <w:p w14:paraId="140C53AA" w14:textId="77777777" w:rsidR="00E41F0F" w:rsidRPr="00B07091" w:rsidRDefault="00E41F0F" w:rsidP="00E41F0F">
            <w:pPr>
              <w:tabs>
                <w:tab w:val="left" w:pos="720"/>
              </w:tabs>
              <w:spacing w:after="0" w:line="240" w:lineRule="auto"/>
            </w:pPr>
            <w:proofErr w:type="spellStart"/>
            <w:r w:rsidRPr="00B07091">
              <w:t>a</w:t>
            </w:r>
            <w:r w:rsidRPr="00B07091">
              <w:rPr>
                <w:vertAlign w:val="subscript"/>
              </w:rPr>
              <w:t>cap,cod</w:t>
            </w:r>
            <w:proofErr w:type="spellEnd"/>
            <w:r w:rsidRPr="00B07091">
              <w:rPr>
                <w:vertAlign w:val="subscript"/>
              </w:rPr>
              <w:t xml:space="preserve"> </w:t>
            </w:r>
          </w:p>
        </w:tc>
        <w:tc>
          <w:tcPr>
            <w:tcW w:w="1410" w:type="dxa"/>
            <w:shd w:val="clear" w:color="auto" w:fill="D9D9D9" w:themeFill="background1" w:themeFillShade="D9"/>
            <w:noWrap/>
            <w:vAlign w:val="bottom"/>
          </w:tcPr>
          <w:p w14:paraId="37F25655" w14:textId="5C131D3E" w:rsidR="00E41F0F" w:rsidRPr="00B07091" w:rsidRDefault="00E41F0F" w:rsidP="00E41F0F">
            <w:pPr>
              <w:tabs>
                <w:tab w:val="left" w:pos="849"/>
              </w:tabs>
              <w:spacing w:after="0" w:line="240" w:lineRule="auto"/>
              <w:jc w:val="center"/>
            </w:pPr>
            <w:r w:rsidRPr="00B07091">
              <w:rPr>
                <w:rFonts w:ascii="Calibri" w:hAnsi="Calibri" w:cs="Calibri"/>
                <w:color w:val="000000"/>
              </w:rPr>
              <w:t>-0.49</w:t>
            </w:r>
          </w:p>
        </w:tc>
        <w:tc>
          <w:tcPr>
            <w:tcW w:w="1134" w:type="dxa"/>
            <w:shd w:val="clear" w:color="auto" w:fill="D9D9D9" w:themeFill="background1" w:themeFillShade="D9"/>
            <w:noWrap/>
            <w:vAlign w:val="bottom"/>
          </w:tcPr>
          <w:p w14:paraId="66E6CFD8" w14:textId="05E5BFDA" w:rsidR="00E41F0F" w:rsidRPr="00B07091" w:rsidRDefault="00E41F0F" w:rsidP="00E41F0F">
            <w:pPr>
              <w:tabs>
                <w:tab w:val="left" w:pos="849"/>
              </w:tabs>
              <w:spacing w:after="0" w:line="240" w:lineRule="auto"/>
              <w:jc w:val="center"/>
            </w:pPr>
            <w:r>
              <w:rPr>
                <w:rFonts w:ascii="Calibri" w:hAnsi="Calibri" w:cs="Calibri"/>
                <w:color w:val="000000"/>
              </w:rPr>
              <w:t>2</w:t>
            </w:r>
          </w:p>
        </w:tc>
      </w:tr>
      <w:tr w:rsidR="00E41F0F" w:rsidRPr="00B07091" w14:paraId="0E7198FC" w14:textId="77777777" w:rsidTr="00E41F0F">
        <w:trPr>
          <w:trHeight w:val="255"/>
          <w:jc w:val="center"/>
        </w:trPr>
        <w:tc>
          <w:tcPr>
            <w:tcW w:w="1560" w:type="dxa"/>
            <w:shd w:val="clear" w:color="auto" w:fill="D9D9D9" w:themeFill="background1" w:themeFillShade="D9"/>
          </w:tcPr>
          <w:p w14:paraId="068751F0" w14:textId="77777777" w:rsidR="00E41F0F" w:rsidRPr="00B07091" w:rsidRDefault="00E41F0F" w:rsidP="00E41F0F">
            <w:pPr>
              <w:spacing w:after="0" w:line="240" w:lineRule="auto"/>
              <w:ind w:left="34" w:hanging="34"/>
            </w:pPr>
          </w:p>
        </w:tc>
        <w:tc>
          <w:tcPr>
            <w:tcW w:w="2551" w:type="dxa"/>
            <w:shd w:val="clear" w:color="auto" w:fill="D9D9D9" w:themeFill="background1" w:themeFillShade="D9"/>
            <w:noWrap/>
            <w:vAlign w:val="center"/>
          </w:tcPr>
          <w:p w14:paraId="105F066F" w14:textId="77777777" w:rsidR="00E41F0F" w:rsidRPr="00B07091" w:rsidRDefault="00E41F0F" w:rsidP="00E41F0F">
            <w:pPr>
              <w:tabs>
                <w:tab w:val="left" w:pos="849"/>
              </w:tabs>
              <w:spacing w:after="0" w:line="240" w:lineRule="auto"/>
            </w:pPr>
            <w:proofErr w:type="spellStart"/>
            <w:r w:rsidRPr="00B07091">
              <w:t>a</w:t>
            </w:r>
            <w:r w:rsidRPr="00B07091">
              <w:rPr>
                <w:vertAlign w:val="subscript"/>
              </w:rPr>
              <w:t>cap,st</w:t>
            </w:r>
            <w:proofErr w:type="spellEnd"/>
            <w:r w:rsidRPr="00B07091">
              <w:rPr>
                <w:vertAlign w:val="subscript"/>
              </w:rPr>
              <w:t xml:space="preserve"> </w:t>
            </w:r>
          </w:p>
        </w:tc>
        <w:tc>
          <w:tcPr>
            <w:tcW w:w="1410" w:type="dxa"/>
            <w:shd w:val="clear" w:color="auto" w:fill="D9D9D9" w:themeFill="background1" w:themeFillShade="D9"/>
            <w:noWrap/>
            <w:vAlign w:val="bottom"/>
          </w:tcPr>
          <w:p w14:paraId="2886842D" w14:textId="435FB438" w:rsidR="00E41F0F" w:rsidRPr="00B07091" w:rsidRDefault="00E41F0F" w:rsidP="00E41F0F">
            <w:pPr>
              <w:tabs>
                <w:tab w:val="left" w:pos="849"/>
              </w:tabs>
              <w:spacing w:after="0" w:line="240" w:lineRule="auto"/>
              <w:jc w:val="center"/>
            </w:pPr>
            <w:r w:rsidRPr="00B07091">
              <w:rPr>
                <w:rFonts w:ascii="Calibri" w:hAnsi="Calibri" w:cs="Calibri"/>
                <w:color w:val="000000"/>
              </w:rPr>
              <w:t>0.17</w:t>
            </w:r>
          </w:p>
        </w:tc>
        <w:tc>
          <w:tcPr>
            <w:tcW w:w="1134" w:type="dxa"/>
            <w:shd w:val="clear" w:color="auto" w:fill="D9D9D9" w:themeFill="background1" w:themeFillShade="D9"/>
            <w:noWrap/>
            <w:vAlign w:val="bottom"/>
          </w:tcPr>
          <w:p w14:paraId="4B89807F" w14:textId="59FDC6D7" w:rsidR="00E41F0F" w:rsidRPr="00B07091" w:rsidRDefault="00E41F0F" w:rsidP="00E41F0F">
            <w:pPr>
              <w:tabs>
                <w:tab w:val="left" w:pos="849"/>
              </w:tabs>
              <w:spacing w:after="0" w:line="240" w:lineRule="auto"/>
              <w:jc w:val="center"/>
            </w:pPr>
            <w:r>
              <w:rPr>
                <w:rFonts w:ascii="Calibri" w:hAnsi="Calibri" w:cs="Calibri"/>
                <w:color w:val="000000"/>
              </w:rPr>
              <w:t>86</w:t>
            </w:r>
          </w:p>
        </w:tc>
      </w:tr>
      <w:tr w:rsidR="00E41F0F" w:rsidRPr="00B07091" w14:paraId="5C64CA90" w14:textId="77777777" w:rsidTr="00E41F0F">
        <w:trPr>
          <w:trHeight w:val="255"/>
          <w:jc w:val="center"/>
        </w:trPr>
        <w:tc>
          <w:tcPr>
            <w:tcW w:w="1560" w:type="dxa"/>
            <w:shd w:val="clear" w:color="auto" w:fill="D9D9D9" w:themeFill="background1" w:themeFillShade="D9"/>
          </w:tcPr>
          <w:p w14:paraId="3706B432" w14:textId="77777777" w:rsidR="00E41F0F" w:rsidRPr="00B07091" w:rsidRDefault="00E41F0F" w:rsidP="00E41F0F">
            <w:pPr>
              <w:spacing w:after="0" w:line="240" w:lineRule="auto"/>
              <w:ind w:left="34" w:hanging="34"/>
            </w:pPr>
          </w:p>
        </w:tc>
        <w:tc>
          <w:tcPr>
            <w:tcW w:w="2551" w:type="dxa"/>
            <w:shd w:val="clear" w:color="auto" w:fill="D9D9D9" w:themeFill="background1" w:themeFillShade="D9"/>
            <w:noWrap/>
            <w:vAlign w:val="center"/>
          </w:tcPr>
          <w:p w14:paraId="173BA1EE" w14:textId="77777777" w:rsidR="00E41F0F" w:rsidRPr="00B07091" w:rsidRDefault="00E41F0F" w:rsidP="00E41F0F">
            <w:pPr>
              <w:tabs>
                <w:tab w:val="left" w:pos="849"/>
              </w:tabs>
              <w:spacing w:after="0" w:line="240" w:lineRule="auto"/>
            </w:pPr>
            <w:proofErr w:type="spellStart"/>
            <w:r w:rsidRPr="00B07091">
              <w:t>a</w:t>
            </w:r>
            <w:r w:rsidRPr="00B07091">
              <w:rPr>
                <w:vertAlign w:val="subscript"/>
              </w:rPr>
              <w:t>cap,nao</w:t>
            </w:r>
            <w:proofErr w:type="spellEnd"/>
          </w:p>
        </w:tc>
        <w:tc>
          <w:tcPr>
            <w:tcW w:w="1410" w:type="dxa"/>
            <w:shd w:val="clear" w:color="auto" w:fill="D9D9D9" w:themeFill="background1" w:themeFillShade="D9"/>
            <w:noWrap/>
            <w:vAlign w:val="bottom"/>
          </w:tcPr>
          <w:p w14:paraId="65BFF10A" w14:textId="118E82D5" w:rsidR="00E41F0F" w:rsidRPr="00B07091" w:rsidRDefault="00E41F0F" w:rsidP="00E41F0F">
            <w:pPr>
              <w:tabs>
                <w:tab w:val="left" w:pos="849"/>
              </w:tabs>
              <w:spacing w:after="0" w:line="240" w:lineRule="auto"/>
              <w:jc w:val="center"/>
            </w:pPr>
            <w:r w:rsidRPr="00B07091">
              <w:rPr>
                <w:rFonts w:ascii="Calibri" w:hAnsi="Calibri" w:cs="Calibri"/>
                <w:color w:val="000000"/>
              </w:rPr>
              <w:t>-0.01</w:t>
            </w:r>
          </w:p>
        </w:tc>
        <w:tc>
          <w:tcPr>
            <w:tcW w:w="1134" w:type="dxa"/>
            <w:shd w:val="clear" w:color="auto" w:fill="D9D9D9" w:themeFill="background1" w:themeFillShade="D9"/>
            <w:noWrap/>
            <w:vAlign w:val="bottom"/>
          </w:tcPr>
          <w:p w14:paraId="0F8EF4B6" w14:textId="77C20C3B" w:rsidR="00E41F0F" w:rsidRPr="00B07091" w:rsidRDefault="00E41F0F" w:rsidP="00E41F0F">
            <w:pPr>
              <w:tabs>
                <w:tab w:val="left" w:pos="849"/>
              </w:tabs>
              <w:spacing w:after="0" w:line="240" w:lineRule="auto"/>
              <w:jc w:val="center"/>
            </w:pPr>
            <w:r>
              <w:rPr>
                <w:rFonts w:ascii="Calibri" w:hAnsi="Calibri" w:cs="Calibri"/>
                <w:color w:val="000000"/>
              </w:rPr>
              <w:t>45</w:t>
            </w:r>
          </w:p>
        </w:tc>
      </w:tr>
    </w:tbl>
    <w:p w14:paraId="21BBDE77" w14:textId="19CAB1B0" w:rsidR="00893B5F" w:rsidRPr="00B07091" w:rsidRDefault="00893B5F" w:rsidP="00893B5F">
      <w:pPr>
        <w:spacing w:line="240" w:lineRule="auto"/>
      </w:pPr>
      <w:r w:rsidRPr="00B07091">
        <w:t>Subscripts “</w:t>
      </w:r>
      <w:r w:rsidR="00750D57" w:rsidRPr="00B07091">
        <w:t>c</w:t>
      </w:r>
      <w:r w:rsidR="000434EA" w:rsidRPr="00B07091">
        <w:t>ap</w:t>
      </w:r>
      <w:r w:rsidRPr="00B07091">
        <w:t xml:space="preserve">” stands for </w:t>
      </w:r>
      <w:r w:rsidR="00101FC5" w:rsidRPr="00B07091">
        <w:t xml:space="preserve">Barents Sea (BS) </w:t>
      </w:r>
      <w:r w:rsidR="00750D57" w:rsidRPr="00B07091">
        <w:t>capelin</w:t>
      </w:r>
      <w:r w:rsidRPr="00B07091">
        <w:t xml:space="preserve"> and “</w:t>
      </w:r>
      <w:r w:rsidR="000434EA" w:rsidRPr="00B07091">
        <w:t>cod</w:t>
      </w:r>
      <w:r w:rsidRPr="00B07091">
        <w:t xml:space="preserve">” for </w:t>
      </w:r>
      <w:r w:rsidR="00101FC5" w:rsidRPr="00B07091">
        <w:t xml:space="preserve">Northeast Arctic (NEA) </w:t>
      </w:r>
      <w:r w:rsidRPr="00B07091">
        <w:t xml:space="preserve">cod. </w:t>
      </w:r>
      <w:proofErr w:type="gramStart"/>
      <w:r w:rsidR="009B52BF" w:rsidRPr="00B07091">
        <w:t>θ</w:t>
      </w:r>
      <w:proofErr w:type="gramEnd"/>
      <w:r w:rsidR="009B52BF" w:rsidRPr="00B07091">
        <w:t xml:space="preserve"> is the threshold</w:t>
      </w:r>
      <w:r w:rsidR="00F57CED" w:rsidRPr="00B07091">
        <w:t xml:space="preserve"> value (log-transformed BS capelin </w:t>
      </w:r>
      <w:r w:rsidR="00F57CED" w:rsidRPr="00B07091">
        <w:rPr>
          <w:bCs/>
        </w:rPr>
        <w:t>abundance of 5.34 10</w:t>
      </w:r>
      <w:r w:rsidR="00F57CED" w:rsidRPr="00B07091">
        <w:rPr>
          <w:bCs/>
          <w:vertAlign w:val="superscript"/>
        </w:rPr>
        <w:t>9</w:t>
      </w:r>
      <w:r w:rsidR="00F57CED" w:rsidRPr="00B07091">
        <w:rPr>
          <w:bCs/>
        </w:rPr>
        <w:t xml:space="preserve"> individuals)</w:t>
      </w:r>
      <w:r w:rsidR="00F57CED" w:rsidRPr="00B07091">
        <w:t>.</w:t>
      </w:r>
      <w:r w:rsidR="00B854A4" w:rsidRPr="00B07091">
        <w:t xml:space="preserve"> </w:t>
      </w:r>
      <w:r w:rsidR="00D52DA7">
        <w:t>Note that ca 50</w:t>
      </w:r>
      <w:r w:rsidR="001C2680">
        <w:t>%</w:t>
      </w:r>
      <w:r w:rsidR="00D52DA7">
        <w:t xml:space="preserve"> indicate</w:t>
      </w:r>
      <w:r w:rsidR="00042B13">
        <w:t>s</w:t>
      </w:r>
      <w:r w:rsidR="00D52DA7">
        <w:t xml:space="preserve"> that the </w:t>
      </w:r>
      <w:r w:rsidR="001C2680">
        <w:t xml:space="preserve">posterior </w:t>
      </w:r>
      <w:r w:rsidR="00D52DA7">
        <w:t>value</w:t>
      </w:r>
      <w:r w:rsidR="001C2680">
        <w:t>s</w:t>
      </w:r>
      <w:r w:rsidR="00D52DA7">
        <w:t xml:space="preserve"> </w:t>
      </w:r>
      <w:r w:rsidR="001C2680">
        <w:t xml:space="preserve">are </w:t>
      </w:r>
      <w:r w:rsidR="007117ED">
        <w:t xml:space="preserve">centred </w:t>
      </w:r>
      <w:proofErr w:type="gramStart"/>
      <w:r w:rsidR="007117ED">
        <w:t>around</w:t>
      </w:r>
      <w:proofErr w:type="gramEnd"/>
      <w:r w:rsidR="007117ED">
        <w:t xml:space="preserve"> 0</w:t>
      </w:r>
      <w:r w:rsidR="00D52DA7">
        <w:t>.</w:t>
      </w:r>
      <w:r w:rsidR="00C013C5">
        <w:t xml:space="preserve"> </w:t>
      </w:r>
      <w:r w:rsidR="00C013C5" w:rsidRPr="00B07091">
        <w:t>See figure S</w:t>
      </w:r>
      <w:r w:rsidR="00084627">
        <w:t>4</w:t>
      </w:r>
      <w:bookmarkStart w:id="1" w:name="_GoBack"/>
      <w:bookmarkEnd w:id="1"/>
      <w:r w:rsidR="00C013C5" w:rsidRPr="00B07091">
        <w:t>.</w:t>
      </w:r>
    </w:p>
    <w:p w14:paraId="3E8FAAE3" w14:textId="77777777" w:rsidR="00377D82" w:rsidRPr="00B07091" w:rsidRDefault="00377D82" w:rsidP="005474D7">
      <w:pPr>
        <w:spacing w:after="0" w:line="240" w:lineRule="auto"/>
        <w:ind w:firstLine="720"/>
      </w:pPr>
    </w:p>
    <w:p w14:paraId="66C92DDD" w14:textId="77777777" w:rsidR="00DC19A0" w:rsidRPr="00B07091" w:rsidRDefault="00DC19A0" w:rsidP="005474D7">
      <w:pPr>
        <w:spacing w:after="0"/>
      </w:pPr>
      <w:r w:rsidRPr="00B07091">
        <w:br w:type="page"/>
      </w:r>
    </w:p>
    <w:p w14:paraId="132439C7" w14:textId="0ACA7120" w:rsidR="00B80C89" w:rsidRPr="00981AF2" w:rsidRDefault="00981AF2" w:rsidP="00B80C89">
      <w:pPr>
        <w:spacing w:after="0"/>
        <w:rPr>
          <w:rFonts w:ascii="Arial" w:hAnsi="Arial" w:cs="Arial"/>
          <w:color w:val="58BA47"/>
        </w:rPr>
      </w:pPr>
      <w:r w:rsidRPr="00981AF2">
        <w:rPr>
          <w:rFonts w:ascii="Arial" w:hAnsi="Arial" w:cs="Arial"/>
          <w:color w:val="58BA47"/>
        </w:rPr>
        <w:lastRenderedPageBreak/>
        <w:t>F</w:t>
      </w:r>
      <w:r w:rsidRPr="00981AF2">
        <w:rPr>
          <w:rFonts w:ascii="Arial" w:hAnsi="Arial" w:cs="Arial"/>
          <w:color w:val="58BA47"/>
        </w:rPr>
        <w:t>igure captions</w:t>
      </w:r>
    </w:p>
    <w:p w14:paraId="375F7C34" w14:textId="77777777" w:rsidR="00981AF2" w:rsidRPr="00B07091" w:rsidRDefault="00981AF2" w:rsidP="00B80C89">
      <w:pPr>
        <w:spacing w:after="0"/>
      </w:pPr>
    </w:p>
    <w:p w14:paraId="6FC9506C" w14:textId="35604EC4" w:rsidR="00B80C89" w:rsidRPr="00B07091" w:rsidRDefault="00B80C89" w:rsidP="00B80C89">
      <w:pPr>
        <w:pStyle w:val="PlainText"/>
        <w:ind w:right="95"/>
        <w:rPr>
          <w:rFonts w:asciiTheme="minorHAnsi" w:eastAsia="Times New Roman" w:hAnsiTheme="minorHAnsi" w:cstheme="minorHAnsi"/>
          <w:sz w:val="24"/>
          <w:szCs w:val="24"/>
          <w:lang w:eastAsia="en-GB"/>
        </w:rPr>
      </w:pPr>
      <w:r w:rsidRPr="00B07091">
        <w:rPr>
          <w:rFonts w:asciiTheme="minorHAnsi" w:hAnsiTheme="minorHAnsi" w:cstheme="minorHAnsi"/>
          <w:b/>
          <w:szCs w:val="22"/>
        </w:rPr>
        <w:t>Figure 1.</w:t>
      </w:r>
      <w:r w:rsidRPr="00B07091">
        <w:rPr>
          <w:rFonts w:asciiTheme="minorHAnsi" w:hAnsiTheme="minorHAnsi" w:cstheme="minorHAnsi"/>
          <w:b/>
        </w:rPr>
        <w:t xml:space="preserve"> </w:t>
      </w:r>
      <w:r w:rsidRPr="00B07091">
        <w:rPr>
          <w:rFonts w:asciiTheme="minorHAnsi" w:eastAsia="Times New Roman" w:hAnsiTheme="minorHAnsi" w:cstheme="minorHAnsi"/>
          <w:szCs w:val="22"/>
          <w:lang w:eastAsia="en-GB"/>
        </w:rPr>
        <w:t>Approximate feeding distribution</w:t>
      </w:r>
      <w:r w:rsidR="00EC5D97" w:rsidRPr="00B07091">
        <w:rPr>
          <w:rFonts w:asciiTheme="minorHAnsi" w:eastAsia="Times New Roman" w:hAnsiTheme="minorHAnsi" w:cstheme="minorHAnsi"/>
          <w:szCs w:val="22"/>
          <w:lang w:eastAsia="en-GB"/>
        </w:rPr>
        <w:t>s</w:t>
      </w:r>
      <w:r w:rsidRPr="00B07091">
        <w:rPr>
          <w:rFonts w:asciiTheme="minorHAnsi" w:eastAsia="Times New Roman" w:hAnsiTheme="minorHAnsi" w:cstheme="minorHAnsi"/>
          <w:szCs w:val="22"/>
          <w:lang w:eastAsia="en-GB"/>
        </w:rPr>
        <w:t xml:space="preserve"> </w:t>
      </w:r>
      <w:r w:rsidR="00EC5D97" w:rsidRPr="00B07091">
        <w:rPr>
          <w:rFonts w:asciiTheme="minorHAnsi" w:eastAsia="Times New Roman" w:hAnsiTheme="minorHAnsi" w:cstheme="minorHAnsi"/>
          <w:szCs w:val="22"/>
          <w:lang w:eastAsia="en-GB"/>
        </w:rPr>
        <w:t xml:space="preserve">in the Barents Sea </w:t>
      </w:r>
      <w:r w:rsidRPr="00B07091">
        <w:rPr>
          <w:rFonts w:asciiTheme="minorHAnsi" w:eastAsia="Times New Roman" w:hAnsiTheme="minorHAnsi" w:cstheme="minorHAnsi"/>
          <w:szCs w:val="22"/>
          <w:lang w:eastAsia="en-GB"/>
        </w:rPr>
        <w:t xml:space="preserve">of </w:t>
      </w:r>
      <w:r w:rsidR="00EC5D97" w:rsidRPr="00B07091">
        <w:rPr>
          <w:rFonts w:asciiTheme="minorHAnsi" w:eastAsia="Times New Roman" w:hAnsiTheme="minorHAnsi" w:cstheme="minorHAnsi"/>
          <w:szCs w:val="22"/>
          <w:lang w:eastAsia="en-GB"/>
        </w:rPr>
        <w:t xml:space="preserve">the </w:t>
      </w:r>
      <w:r w:rsidRPr="00B07091">
        <w:rPr>
          <w:rFonts w:asciiTheme="minorHAnsi" w:eastAsia="Times New Roman" w:hAnsiTheme="minorHAnsi" w:cstheme="minorHAnsi"/>
          <w:szCs w:val="22"/>
          <w:lang w:eastAsia="en-GB"/>
        </w:rPr>
        <w:t xml:space="preserve">Northeast Arctic cod (blue) and </w:t>
      </w:r>
      <w:r w:rsidR="00EC5D97" w:rsidRPr="00B07091">
        <w:rPr>
          <w:rFonts w:asciiTheme="minorHAnsi" w:eastAsia="Times New Roman" w:hAnsiTheme="minorHAnsi" w:cstheme="minorHAnsi"/>
          <w:szCs w:val="22"/>
          <w:lang w:eastAsia="en-GB"/>
        </w:rPr>
        <w:t>the</w:t>
      </w:r>
      <w:r w:rsidRPr="00B07091">
        <w:rPr>
          <w:rFonts w:asciiTheme="minorHAnsi" w:eastAsia="Times New Roman" w:hAnsiTheme="minorHAnsi" w:cstheme="minorHAnsi"/>
          <w:szCs w:val="22"/>
          <w:lang w:eastAsia="en-GB"/>
        </w:rPr>
        <w:t xml:space="preserve"> capelin (red). The map are redrawn </w:t>
      </w:r>
      <w:r w:rsidR="00671B4D" w:rsidRPr="00B07091">
        <w:rPr>
          <w:rFonts w:asciiTheme="minorHAnsi" w:eastAsia="Times New Roman" w:hAnsiTheme="minorHAnsi" w:cstheme="minorHAnsi"/>
          <w:szCs w:val="22"/>
          <w:lang w:eastAsia="en-GB"/>
        </w:rPr>
        <w:t xml:space="preserve">from </w:t>
      </w:r>
      <w:proofErr w:type="spellStart"/>
      <w:r w:rsidRPr="00B07091">
        <w:rPr>
          <w:rFonts w:asciiTheme="minorHAnsi" w:eastAsia="Times New Roman" w:hAnsiTheme="minorHAnsi" w:cstheme="minorHAnsi"/>
          <w:szCs w:val="22"/>
          <w:lang w:eastAsia="en-GB"/>
        </w:rPr>
        <w:t>Bakketeig</w:t>
      </w:r>
      <w:proofErr w:type="spellEnd"/>
      <w:r w:rsidRPr="00B07091">
        <w:rPr>
          <w:rFonts w:asciiTheme="minorHAnsi" w:eastAsia="Times New Roman" w:hAnsiTheme="minorHAnsi" w:cstheme="minorHAnsi"/>
          <w:szCs w:val="22"/>
          <w:lang w:eastAsia="en-GB"/>
        </w:rPr>
        <w:t xml:space="preserve"> et al. 2016 </w:t>
      </w:r>
      <w:r w:rsidR="001E0C84">
        <w:rPr>
          <w:rFonts w:asciiTheme="minorHAnsi" w:eastAsia="Times New Roman" w:hAnsiTheme="minorHAnsi" w:cstheme="minorHAnsi"/>
          <w:noProof/>
          <w:szCs w:val="22"/>
          <w:lang w:eastAsia="en-GB"/>
        </w:rPr>
        <w:t>(46)</w:t>
      </w:r>
      <w:r w:rsidRPr="00B07091">
        <w:rPr>
          <w:rFonts w:asciiTheme="minorHAnsi" w:eastAsia="Times New Roman" w:hAnsiTheme="minorHAnsi" w:cstheme="minorHAnsi"/>
          <w:szCs w:val="22"/>
          <w:lang w:eastAsia="en-GB"/>
        </w:rPr>
        <w:t>.</w:t>
      </w:r>
    </w:p>
    <w:p w14:paraId="191F23DE" w14:textId="35BC6385" w:rsidR="00B80C89" w:rsidRPr="00B07091" w:rsidRDefault="00B80C89" w:rsidP="00B80C89">
      <w:pPr>
        <w:spacing w:after="0"/>
        <w:rPr>
          <w:rFonts w:cstheme="minorHAnsi"/>
          <w:b/>
        </w:rPr>
      </w:pPr>
    </w:p>
    <w:p w14:paraId="4EF15219" w14:textId="442E6552" w:rsidR="00BF0FE8" w:rsidRPr="00B07091" w:rsidRDefault="00BF0FE8" w:rsidP="005474D7">
      <w:pPr>
        <w:spacing w:after="0"/>
      </w:pPr>
    </w:p>
    <w:p w14:paraId="1AE7689E" w14:textId="0687F527" w:rsidR="008E5C5B" w:rsidRPr="00B07091" w:rsidRDefault="008E5C5B" w:rsidP="005474D7">
      <w:pPr>
        <w:spacing w:after="0"/>
      </w:pPr>
    </w:p>
    <w:p w14:paraId="3526599F" w14:textId="3C99A586" w:rsidR="00D32D85" w:rsidRPr="00C42623" w:rsidRDefault="00D32D85" w:rsidP="00B80C89">
      <w:pPr>
        <w:spacing w:after="0"/>
      </w:pPr>
      <w:r w:rsidRPr="00B07091">
        <w:rPr>
          <w:b/>
        </w:rPr>
        <w:t>F</w:t>
      </w:r>
      <w:r w:rsidR="00F1237D" w:rsidRPr="00B07091">
        <w:rPr>
          <w:b/>
        </w:rPr>
        <w:t>igure</w:t>
      </w:r>
      <w:r w:rsidRPr="00B07091">
        <w:rPr>
          <w:b/>
        </w:rPr>
        <w:t xml:space="preserve"> </w:t>
      </w:r>
      <w:r w:rsidR="007D209B" w:rsidRPr="00B07091">
        <w:rPr>
          <w:b/>
        </w:rPr>
        <w:t>2</w:t>
      </w:r>
      <w:r w:rsidRPr="00B07091">
        <w:rPr>
          <w:b/>
        </w:rPr>
        <w:t xml:space="preserve">. </w:t>
      </w:r>
      <w:r w:rsidRPr="00B07091">
        <w:rPr>
          <w:bCs/>
        </w:rPr>
        <w:t>Posterior predictive check on abundances indices. The dots show the acoustic (for capelin</w:t>
      </w:r>
      <w:r w:rsidR="00C1444C" w:rsidRPr="00B07091">
        <w:rPr>
          <w:bCs/>
        </w:rPr>
        <w:t xml:space="preserve"> in A</w:t>
      </w:r>
      <w:r w:rsidRPr="00B07091">
        <w:rPr>
          <w:bCs/>
        </w:rPr>
        <w:t>) and trawl (for cod</w:t>
      </w:r>
      <w:r w:rsidR="00C1444C" w:rsidRPr="00B07091">
        <w:rPr>
          <w:bCs/>
        </w:rPr>
        <w:t xml:space="preserve"> in B</w:t>
      </w:r>
      <w:r w:rsidRPr="00B07091">
        <w:rPr>
          <w:bCs/>
        </w:rPr>
        <w:t xml:space="preserve">) survey </w:t>
      </w:r>
      <w:r w:rsidR="00F57CED" w:rsidRPr="00B07091">
        <w:rPr>
          <w:bCs/>
        </w:rPr>
        <w:t xml:space="preserve">log-transformed </w:t>
      </w:r>
      <w:r w:rsidRPr="00B07091">
        <w:rPr>
          <w:bCs/>
        </w:rPr>
        <w:t xml:space="preserve">abundance estimates (i.e. data) and </w:t>
      </w:r>
      <w:r w:rsidRPr="00B07091">
        <w:t xml:space="preserve">the blue bands are the 95% predictive intervals. For both plots, </w:t>
      </w:r>
      <w:r w:rsidR="00C22BEF" w:rsidRPr="00B07091">
        <w:t xml:space="preserve">filled </w:t>
      </w:r>
      <w:r w:rsidRPr="00B07091">
        <w:t xml:space="preserve">data points are for the years with capelin stock size over the estimated threshold between &gt; </w:t>
      </w:r>
      <w:r w:rsidR="00F57CED" w:rsidRPr="00B07091">
        <w:t>5.30</w:t>
      </w:r>
      <w:r w:rsidRPr="00B07091">
        <w:t xml:space="preserve"> 10</w:t>
      </w:r>
      <w:r w:rsidRPr="00B07091">
        <w:rPr>
          <w:vertAlign w:val="superscript"/>
        </w:rPr>
        <w:t>9</w:t>
      </w:r>
      <w:r w:rsidRPr="00B07091">
        <w:t xml:space="preserve"> </w:t>
      </w:r>
      <w:r w:rsidR="00E30AE1" w:rsidRPr="00B07091">
        <w:t xml:space="preserve">(blue dotted line in figure A) </w:t>
      </w:r>
      <w:r w:rsidRPr="00B07091">
        <w:t xml:space="preserve">and ≤ </w:t>
      </w:r>
      <w:r w:rsidR="00F57CED" w:rsidRPr="00B07091">
        <w:t>5.34</w:t>
      </w:r>
      <w:r w:rsidRPr="00B07091">
        <w:t xml:space="preserve"> 10</w:t>
      </w:r>
      <w:r w:rsidRPr="00B07091">
        <w:rPr>
          <w:vertAlign w:val="superscript"/>
        </w:rPr>
        <w:t>9</w:t>
      </w:r>
      <w:r w:rsidR="00406074" w:rsidRPr="00B07091">
        <w:t xml:space="preserve"> </w:t>
      </w:r>
      <w:r w:rsidR="00E30AE1" w:rsidRPr="00B07091">
        <w:t>(red dotted line in figure A).</w:t>
      </w:r>
      <w:r w:rsidRPr="00C42623">
        <w:t xml:space="preserve"> </w:t>
      </w:r>
    </w:p>
    <w:p w14:paraId="6D6FD673" w14:textId="77777777" w:rsidR="00D31951" w:rsidRPr="00C42623" w:rsidRDefault="00D31951" w:rsidP="00B80C89">
      <w:pPr>
        <w:spacing w:after="0"/>
        <w:rPr>
          <w:rFonts w:cstheme="minorHAnsi"/>
          <w:b/>
        </w:rPr>
      </w:pPr>
    </w:p>
    <w:p w14:paraId="4B183E80" w14:textId="0D683FE1" w:rsidR="00944A0E" w:rsidRPr="00C42623" w:rsidRDefault="00944A0E" w:rsidP="00A07641">
      <w:pPr>
        <w:rPr>
          <w:b/>
        </w:rPr>
      </w:pPr>
    </w:p>
    <w:sectPr w:rsidR="00944A0E" w:rsidRPr="00C42623" w:rsidSect="00B47D01">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81BF" w14:textId="77777777" w:rsidR="008F4818" w:rsidRDefault="008F4818" w:rsidP="006D71A5">
      <w:pPr>
        <w:spacing w:after="0" w:line="240" w:lineRule="auto"/>
      </w:pPr>
      <w:r>
        <w:separator/>
      </w:r>
    </w:p>
  </w:endnote>
  <w:endnote w:type="continuationSeparator" w:id="0">
    <w:p w14:paraId="599DD34F" w14:textId="77777777" w:rsidR="008F4818" w:rsidRDefault="008F4818" w:rsidP="006D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MS Gothic"/>
    <w:charset w:val="80"/>
    <w:family w:val="auto"/>
    <w:pitch w:val="default"/>
    <w:sig w:usb0="00000003" w:usb1="08070000" w:usb2="00000010" w:usb3="00000000" w:csb0="00020001" w:csb1="00000000"/>
  </w:font>
  <w:font w:name="AdvOTd67905e7">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00315"/>
      <w:docPartObj>
        <w:docPartGallery w:val="Page Numbers (Bottom of Page)"/>
        <w:docPartUnique/>
      </w:docPartObj>
    </w:sdtPr>
    <w:sdtEndPr/>
    <w:sdtContent>
      <w:p w14:paraId="5645077B" w14:textId="288C8C8A" w:rsidR="00533E11" w:rsidRDefault="00533E11">
        <w:pPr>
          <w:pStyle w:val="Footer"/>
          <w:jc w:val="center"/>
        </w:pPr>
        <w:r>
          <w:fldChar w:fldCharType="begin"/>
        </w:r>
        <w:r>
          <w:instrText>PAGE   \* MERGEFORMAT</w:instrText>
        </w:r>
        <w:r>
          <w:fldChar w:fldCharType="separate"/>
        </w:r>
        <w:r w:rsidR="00084627" w:rsidRPr="00084627">
          <w:rPr>
            <w:noProof/>
            <w:lang w:val="nb-NO"/>
          </w:rPr>
          <w:t>9</w:t>
        </w:r>
        <w:r>
          <w:fldChar w:fldCharType="end"/>
        </w:r>
      </w:p>
    </w:sdtContent>
  </w:sdt>
  <w:p w14:paraId="313CE74C" w14:textId="77777777" w:rsidR="00533E11" w:rsidRDefault="0053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94AB1" w14:textId="77777777" w:rsidR="008F4818" w:rsidRDefault="008F4818" w:rsidP="006D71A5">
      <w:pPr>
        <w:spacing w:after="0" w:line="240" w:lineRule="auto"/>
      </w:pPr>
      <w:r>
        <w:separator/>
      </w:r>
    </w:p>
  </w:footnote>
  <w:footnote w:type="continuationSeparator" w:id="0">
    <w:p w14:paraId="2E36E867" w14:textId="77777777" w:rsidR="008F4818" w:rsidRDefault="008F4818" w:rsidP="006D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0F72"/>
    <w:multiLevelType w:val="hybridMultilevel"/>
    <w:tmpl w:val="C5585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357844"/>
    <w:multiLevelType w:val="hybridMultilevel"/>
    <w:tmpl w:val="A68A783C"/>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5A0544"/>
    <w:multiLevelType w:val="hybridMultilevel"/>
    <w:tmpl w:val="9D2E9C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783E93"/>
    <w:multiLevelType w:val="hybridMultilevel"/>
    <w:tmpl w:val="BEE4E4E0"/>
    <w:lvl w:ilvl="0" w:tplc="F81CFD94">
      <w:start w:val="1"/>
      <w:numFmt w:val="decimal"/>
      <w:lvlText w:val="%1."/>
      <w:lvlJc w:val="left"/>
      <w:pPr>
        <w:ind w:left="720" w:hanging="36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006AC2"/>
    <w:multiLevelType w:val="hybridMultilevel"/>
    <w:tmpl w:val="7350559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GB"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t9pep0hzre5aeavpcp95tfwtspssxx299t&quot;&gt;ReferenceList - apr2020-Converted&lt;record-ids&gt;&lt;item&gt;1307&lt;/item&gt;&lt;item&gt;3785&lt;/item&gt;&lt;item&gt;3794&lt;/item&gt;&lt;item&gt;4698&lt;/item&gt;&lt;item&gt;4877&lt;/item&gt;&lt;item&gt;4900&lt;/item&gt;&lt;item&gt;5110&lt;/item&gt;&lt;item&gt;5222&lt;/item&gt;&lt;item&gt;5655&lt;/item&gt;&lt;item&gt;5725&lt;/item&gt;&lt;item&gt;5806&lt;/item&gt;&lt;item&gt;5827&lt;/item&gt;&lt;item&gt;5955&lt;/item&gt;&lt;item&gt;5976&lt;/item&gt;&lt;item&gt;6901&lt;/item&gt;&lt;item&gt;6952&lt;/item&gt;&lt;item&gt;6964&lt;/item&gt;&lt;item&gt;6987&lt;/item&gt;&lt;item&gt;6997&lt;/item&gt;&lt;item&gt;7022&lt;/item&gt;&lt;item&gt;7023&lt;/item&gt;&lt;item&gt;7104&lt;/item&gt;&lt;item&gt;7172&lt;/item&gt;&lt;item&gt;7244&lt;/item&gt;&lt;item&gt;7331&lt;/item&gt;&lt;item&gt;7378&lt;/item&gt;&lt;item&gt;7500&lt;/item&gt;&lt;item&gt;7544&lt;/item&gt;&lt;item&gt;7547&lt;/item&gt;&lt;item&gt;7552&lt;/item&gt;&lt;item&gt;7562&lt;/item&gt;&lt;item&gt;7568&lt;/item&gt;&lt;item&gt;7622&lt;/item&gt;&lt;item&gt;7626&lt;/item&gt;&lt;item&gt;7642&lt;/item&gt;&lt;item&gt;7725&lt;/item&gt;&lt;item&gt;7772&lt;/item&gt;&lt;item&gt;7774&lt;/item&gt;&lt;item&gt;7826&lt;/item&gt;&lt;item&gt;7827&lt;/item&gt;&lt;item&gt;7830&lt;/item&gt;&lt;item&gt;7831&lt;/item&gt;&lt;item&gt;7837&lt;/item&gt;&lt;item&gt;7844&lt;/item&gt;&lt;item&gt;7860&lt;/item&gt;&lt;/record-ids&gt;&lt;/item&gt;&lt;/Libraries&gt;"/>
  </w:docVars>
  <w:rsids>
    <w:rsidRoot w:val="008E5C5B"/>
    <w:rsid w:val="00005817"/>
    <w:rsid w:val="00005DE1"/>
    <w:rsid w:val="00007A17"/>
    <w:rsid w:val="00010556"/>
    <w:rsid w:val="000150DD"/>
    <w:rsid w:val="00015CDC"/>
    <w:rsid w:val="000170D9"/>
    <w:rsid w:val="00031B2B"/>
    <w:rsid w:val="0003623F"/>
    <w:rsid w:val="000407E2"/>
    <w:rsid w:val="00040B82"/>
    <w:rsid w:val="000421D5"/>
    <w:rsid w:val="00042B13"/>
    <w:rsid w:val="00042B69"/>
    <w:rsid w:val="000434EA"/>
    <w:rsid w:val="000454D3"/>
    <w:rsid w:val="00047CFD"/>
    <w:rsid w:val="00047DD0"/>
    <w:rsid w:val="00050A8E"/>
    <w:rsid w:val="000555F8"/>
    <w:rsid w:val="00074175"/>
    <w:rsid w:val="00075108"/>
    <w:rsid w:val="00081796"/>
    <w:rsid w:val="00083560"/>
    <w:rsid w:val="00084331"/>
    <w:rsid w:val="00084627"/>
    <w:rsid w:val="0009482B"/>
    <w:rsid w:val="000A6FBE"/>
    <w:rsid w:val="000B2BC5"/>
    <w:rsid w:val="000B5012"/>
    <w:rsid w:val="000C7518"/>
    <w:rsid w:val="000D1F8B"/>
    <w:rsid w:val="000D3730"/>
    <w:rsid w:val="000D7534"/>
    <w:rsid w:val="000E21AF"/>
    <w:rsid w:val="00100E77"/>
    <w:rsid w:val="00101FC5"/>
    <w:rsid w:val="00111C1B"/>
    <w:rsid w:val="0011752D"/>
    <w:rsid w:val="00122158"/>
    <w:rsid w:val="001228C1"/>
    <w:rsid w:val="00127635"/>
    <w:rsid w:val="00127B7A"/>
    <w:rsid w:val="001303F4"/>
    <w:rsid w:val="0013110D"/>
    <w:rsid w:val="00132DB8"/>
    <w:rsid w:val="00133071"/>
    <w:rsid w:val="00135AA3"/>
    <w:rsid w:val="00137634"/>
    <w:rsid w:val="00150EA5"/>
    <w:rsid w:val="0015184E"/>
    <w:rsid w:val="00152023"/>
    <w:rsid w:val="0016373E"/>
    <w:rsid w:val="00184EC5"/>
    <w:rsid w:val="00185DB0"/>
    <w:rsid w:val="00195DBD"/>
    <w:rsid w:val="00196B39"/>
    <w:rsid w:val="00196D36"/>
    <w:rsid w:val="001B1567"/>
    <w:rsid w:val="001C21DC"/>
    <w:rsid w:val="001C234A"/>
    <w:rsid w:val="001C2680"/>
    <w:rsid w:val="001C51AA"/>
    <w:rsid w:val="001D6D99"/>
    <w:rsid w:val="001E0C84"/>
    <w:rsid w:val="001E3637"/>
    <w:rsid w:val="001E728C"/>
    <w:rsid w:val="001E73A4"/>
    <w:rsid w:val="001E7EA3"/>
    <w:rsid w:val="001F4DE6"/>
    <w:rsid w:val="001F52FE"/>
    <w:rsid w:val="001F58AC"/>
    <w:rsid w:val="002043DC"/>
    <w:rsid w:val="00205503"/>
    <w:rsid w:val="002171AB"/>
    <w:rsid w:val="002215B6"/>
    <w:rsid w:val="00225B92"/>
    <w:rsid w:val="00226E99"/>
    <w:rsid w:val="00231FBC"/>
    <w:rsid w:val="0023338E"/>
    <w:rsid w:val="00234D03"/>
    <w:rsid w:val="00237CA6"/>
    <w:rsid w:val="002467A4"/>
    <w:rsid w:val="00247580"/>
    <w:rsid w:val="002516B2"/>
    <w:rsid w:val="002562EA"/>
    <w:rsid w:val="0026153E"/>
    <w:rsid w:val="00263C43"/>
    <w:rsid w:val="002649E1"/>
    <w:rsid w:val="00265967"/>
    <w:rsid w:val="00265E88"/>
    <w:rsid w:val="0026616E"/>
    <w:rsid w:val="002664F5"/>
    <w:rsid w:val="00267E02"/>
    <w:rsid w:val="002728CD"/>
    <w:rsid w:val="0027338E"/>
    <w:rsid w:val="00273E85"/>
    <w:rsid w:val="00280274"/>
    <w:rsid w:val="0029034F"/>
    <w:rsid w:val="00291FDA"/>
    <w:rsid w:val="00292FA1"/>
    <w:rsid w:val="002934CB"/>
    <w:rsid w:val="00293BCA"/>
    <w:rsid w:val="00294726"/>
    <w:rsid w:val="00294A2C"/>
    <w:rsid w:val="002A233E"/>
    <w:rsid w:val="002B42D5"/>
    <w:rsid w:val="002B58C6"/>
    <w:rsid w:val="002B751B"/>
    <w:rsid w:val="002C3B54"/>
    <w:rsid w:val="002D3A0D"/>
    <w:rsid w:val="002D3FD4"/>
    <w:rsid w:val="002D7E38"/>
    <w:rsid w:val="002E33F8"/>
    <w:rsid w:val="002E6C2E"/>
    <w:rsid w:val="002F05C5"/>
    <w:rsid w:val="002F09BD"/>
    <w:rsid w:val="002F0E57"/>
    <w:rsid w:val="00301713"/>
    <w:rsid w:val="00305071"/>
    <w:rsid w:val="003069FD"/>
    <w:rsid w:val="00314A08"/>
    <w:rsid w:val="00316D83"/>
    <w:rsid w:val="00321263"/>
    <w:rsid w:val="00323DE5"/>
    <w:rsid w:val="00327810"/>
    <w:rsid w:val="00330455"/>
    <w:rsid w:val="00332D61"/>
    <w:rsid w:val="00335481"/>
    <w:rsid w:val="0034181C"/>
    <w:rsid w:val="003440C6"/>
    <w:rsid w:val="00354EA6"/>
    <w:rsid w:val="003573D9"/>
    <w:rsid w:val="00365DD4"/>
    <w:rsid w:val="0037385B"/>
    <w:rsid w:val="00377D82"/>
    <w:rsid w:val="00380A87"/>
    <w:rsid w:val="00382E74"/>
    <w:rsid w:val="00384D6D"/>
    <w:rsid w:val="0039301E"/>
    <w:rsid w:val="00395554"/>
    <w:rsid w:val="00396215"/>
    <w:rsid w:val="003A735F"/>
    <w:rsid w:val="003C380D"/>
    <w:rsid w:val="003D0F59"/>
    <w:rsid w:val="003D4A12"/>
    <w:rsid w:val="003F04C9"/>
    <w:rsid w:val="003F3614"/>
    <w:rsid w:val="00401F5C"/>
    <w:rsid w:val="00403737"/>
    <w:rsid w:val="00406074"/>
    <w:rsid w:val="004109A8"/>
    <w:rsid w:val="00415E90"/>
    <w:rsid w:val="004229ED"/>
    <w:rsid w:val="0043143F"/>
    <w:rsid w:val="004371F2"/>
    <w:rsid w:val="00442AE6"/>
    <w:rsid w:val="004478C9"/>
    <w:rsid w:val="004551BD"/>
    <w:rsid w:val="004559AF"/>
    <w:rsid w:val="00455DF6"/>
    <w:rsid w:val="0046170B"/>
    <w:rsid w:val="00462710"/>
    <w:rsid w:val="004802A2"/>
    <w:rsid w:val="00484C7E"/>
    <w:rsid w:val="00490C03"/>
    <w:rsid w:val="00493C45"/>
    <w:rsid w:val="00497517"/>
    <w:rsid w:val="00497D5D"/>
    <w:rsid w:val="004A147B"/>
    <w:rsid w:val="004A2EC8"/>
    <w:rsid w:val="004A31D0"/>
    <w:rsid w:val="004B7BC5"/>
    <w:rsid w:val="004C3740"/>
    <w:rsid w:val="004D51E4"/>
    <w:rsid w:val="004D6124"/>
    <w:rsid w:val="004E5118"/>
    <w:rsid w:val="005032EA"/>
    <w:rsid w:val="00512488"/>
    <w:rsid w:val="00514FC8"/>
    <w:rsid w:val="00515185"/>
    <w:rsid w:val="005263A4"/>
    <w:rsid w:val="005316F0"/>
    <w:rsid w:val="00533E11"/>
    <w:rsid w:val="00546D6D"/>
    <w:rsid w:val="005474D7"/>
    <w:rsid w:val="005548D9"/>
    <w:rsid w:val="0056530F"/>
    <w:rsid w:val="005809B8"/>
    <w:rsid w:val="005A28D0"/>
    <w:rsid w:val="005A56A6"/>
    <w:rsid w:val="005A7A1A"/>
    <w:rsid w:val="005B338F"/>
    <w:rsid w:val="005B4E9A"/>
    <w:rsid w:val="005C16A6"/>
    <w:rsid w:val="005C3CC3"/>
    <w:rsid w:val="005D4F3B"/>
    <w:rsid w:val="005D538C"/>
    <w:rsid w:val="005E067D"/>
    <w:rsid w:val="005F11BF"/>
    <w:rsid w:val="005F56E7"/>
    <w:rsid w:val="00603EEF"/>
    <w:rsid w:val="006053D9"/>
    <w:rsid w:val="006227CF"/>
    <w:rsid w:val="00623650"/>
    <w:rsid w:val="0063676B"/>
    <w:rsid w:val="00646263"/>
    <w:rsid w:val="0064648A"/>
    <w:rsid w:val="006600F6"/>
    <w:rsid w:val="00671B4D"/>
    <w:rsid w:val="00673AD1"/>
    <w:rsid w:val="0067419C"/>
    <w:rsid w:val="0068096A"/>
    <w:rsid w:val="00681ADF"/>
    <w:rsid w:val="006850F0"/>
    <w:rsid w:val="00687BF2"/>
    <w:rsid w:val="00691EC6"/>
    <w:rsid w:val="006A17A2"/>
    <w:rsid w:val="006A3952"/>
    <w:rsid w:val="006B4878"/>
    <w:rsid w:val="006D71A5"/>
    <w:rsid w:val="006E1720"/>
    <w:rsid w:val="006E50F9"/>
    <w:rsid w:val="006E52DE"/>
    <w:rsid w:val="006E760F"/>
    <w:rsid w:val="0070331E"/>
    <w:rsid w:val="007117ED"/>
    <w:rsid w:val="00723D90"/>
    <w:rsid w:val="00737335"/>
    <w:rsid w:val="0073773B"/>
    <w:rsid w:val="0074100C"/>
    <w:rsid w:val="0074632C"/>
    <w:rsid w:val="00750D57"/>
    <w:rsid w:val="00751461"/>
    <w:rsid w:val="00752425"/>
    <w:rsid w:val="00756285"/>
    <w:rsid w:val="00757653"/>
    <w:rsid w:val="00757B90"/>
    <w:rsid w:val="00760D42"/>
    <w:rsid w:val="0076506F"/>
    <w:rsid w:val="00782ADA"/>
    <w:rsid w:val="00785504"/>
    <w:rsid w:val="007A4EBB"/>
    <w:rsid w:val="007B001A"/>
    <w:rsid w:val="007B6DCF"/>
    <w:rsid w:val="007C049E"/>
    <w:rsid w:val="007C58B3"/>
    <w:rsid w:val="007D1A7E"/>
    <w:rsid w:val="007D209B"/>
    <w:rsid w:val="007E10A1"/>
    <w:rsid w:val="007E14B2"/>
    <w:rsid w:val="007E3203"/>
    <w:rsid w:val="007E6138"/>
    <w:rsid w:val="007E6715"/>
    <w:rsid w:val="007F5771"/>
    <w:rsid w:val="007F57F7"/>
    <w:rsid w:val="007F741E"/>
    <w:rsid w:val="008027E6"/>
    <w:rsid w:val="00806158"/>
    <w:rsid w:val="00810F73"/>
    <w:rsid w:val="00812206"/>
    <w:rsid w:val="008132C2"/>
    <w:rsid w:val="00814F71"/>
    <w:rsid w:val="008173AC"/>
    <w:rsid w:val="00823C41"/>
    <w:rsid w:val="00840009"/>
    <w:rsid w:val="00841604"/>
    <w:rsid w:val="008426BF"/>
    <w:rsid w:val="0084599E"/>
    <w:rsid w:val="00854941"/>
    <w:rsid w:val="00854C2F"/>
    <w:rsid w:val="00867940"/>
    <w:rsid w:val="00880613"/>
    <w:rsid w:val="008833F9"/>
    <w:rsid w:val="008836D0"/>
    <w:rsid w:val="0088421A"/>
    <w:rsid w:val="00884439"/>
    <w:rsid w:val="0088704B"/>
    <w:rsid w:val="00893B5F"/>
    <w:rsid w:val="008944B8"/>
    <w:rsid w:val="008A056C"/>
    <w:rsid w:val="008A057B"/>
    <w:rsid w:val="008A4FF6"/>
    <w:rsid w:val="008A667B"/>
    <w:rsid w:val="008B2CCC"/>
    <w:rsid w:val="008B6C04"/>
    <w:rsid w:val="008C1233"/>
    <w:rsid w:val="008C6E06"/>
    <w:rsid w:val="008C72BD"/>
    <w:rsid w:val="008D606E"/>
    <w:rsid w:val="008D6C9C"/>
    <w:rsid w:val="008E01F0"/>
    <w:rsid w:val="008E16A5"/>
    <w:rsid w:val="008E5C5B"/>
    <w:rsid w:val="008E7C9A"/>
    <w:rsid w:val="008F092E"/>
    <w:rsid w:val="008F2466"/>
    <w:rsid w:val="008F4818"/>
    <w:rsid w:val="008F667F"/>
    <w:rsid w:val="00902CF3"/>
    <w:rsid w:val="009116E1"/>
    <w:rsid w:val="009262F9"/>
    <w:rsid w:val="0092771F"/>
    <w:rsid w:val="00933A06"/>
    <w:rsid w:val="00936097"/>
    <w:rsid w:val="00937F21"/>
    <w:rsid w:val="00943A71"/>
    <w:rsid w:val="00944A0E"/>
    <w:rsid w:val="00946050"/>
    <w:rsid w:val="009471E8"/>
    <w:rsid w:val="00947F50"/>
    <w:rsid w:val="00955AF1"/>
    <w:rsid w:val="00957958"/>
    <w:rsid w:val="00961BCF"/>
    <w:rsid w:val="00981AF2"/>
    <w:rsid w:val="00985E8A"/>
    <w:rsid w:val="009B2BD6"/>
    <w:rsid w:val="009B52BF"/>
    <w:rsid w:val="009B57DD"/>
    <w:rsid w:val="009B7E0A"/>
    <w:rsid w:val="009D2CD8"/>
    <w:rsid w:val="009D32A6"/>
    <w:rsid w:val="009D4F13"/>
    <w:rsid w:val="009E47EC"/>
    <w:rsid w:val="009F335D"/>
    <w:rsid w:val="00A0184E"/>
    <w:rsid w:val="00A02D0F"/>
    <w:rsid w:val="00A02DC3"/>
    <w:rsid w:val="00A04B83"/>
    <w:rsid w:val="00A07641"/>
    <w:rsid w:val="00A13029"/>
    <w:rsid w:val="00A2143D"/>
    <w:rsid w:val="00A307CF"/>
    <w:rsid w:val="00A55579"/>
    <w:rsid w:val="00A6205D"/>
    <w:rsid w:val="00A62587"/>
    <w:rsid w:val="00A74846"/>
    <w:rsid w:val="00A76B47"/>
    <w:rsid w:val="00A91FBF"/>
    <w:rsid w:val="00A93B1B"/>
    <w:rsid w:val="00A94AFC"/>
    <w:rsid w:val="00A96E09"/>
    <w:rsid w:val="00AA54A3"/>
    <w:rsid w:val="00AB3CB0"/>
    <w:rsid w:val="00AB7C3D"/>
    <w:rsid w:val="00AD1655"/>
    <w:rsid w:val="00AD37A0"/>
    <w:rsid w:val="00AD69AF"/>
    <w:rsid w:val="00AE2283"/>
    <w:rsid w:val="00AF3E65"/>
    <w:rsid w:val="00AF4D75"/>
    <w:rsid w:val="00AF72E0"/>
    <w:rsid w:val="00B07091"/>
    <w:rsid w:val="00B12C5E"/>
    <w:rsid w:val="00B1363A"/>
    <w:rsid w:val="00B20156"/>
    <w:rsid w:val="00B2178B"/>
    <w:rsid w:val="00B47D01"/>
    <w:rsid w:val="00B662FC"/>
    <w:rsid w:val="00B7635F"/>
    <w:rsid w:val="00B80C89"/>
    <w:rsid w:val="00B83949"/>
    <w:rsid w:val="00B854A4"/>
    <w:rsid w:val="00BA07CB"/>
    <w:rsid w:val="00BA2556"/>
    <w:rsid w:val="00BB1832"/>
    <w:rsid w:val="00BB4E46"/>
    <w:rsid w:val="00BB5B8B"/>
    <w:rsid w:val="00BB7228"/>
    <w:rsid w:val="00BB742D"/>
    <w:rsid w:val="00BC0B1B"/>
    <w:rsid w:val="00BC64B3"/>
    <w:rsid w:val="00BD3282"/>
    <w:rsid w:val="00BD4CE3"/>
    <w:rsid w:val="00BE70C1"/>
    <w:rsid w:val="00BF0FE8"/>
    <w:rsid w:val="00C01273"/>
    <w:rsid w:val="00C013C5"/>
    <w:rsid w:val="00C04716"/>
    <w:rsid w:val="00C1444C"/>
    <w:rsid w:val="00C14C49"/>
    <w:rsid w:val="00C22BEF"/>
    <w:rsid w:val="00C311DB"/>
    <w:rsid w:val="00C33BFF"/>
    <w:rsid w:val="00C36FDA"/>
    <w:rsid w:val="00C42623"/>
    <w:rsid w:val="00C441D5"/>
    <w:rsid w:val="00C47564"/>
    <w:rsid w:val="00C612E3"/>
    <w:rsid w:val="00C70F7B"/>
    <w:rsid w:val="00C8241D"/>
    <w:rsid w:val="00C92C2A"/>
    <w:rsid w:val="00C95235"/>
    <w:rsid w:val="00CA47F9"/>
    <w:rsid w:val="00CB0EDE"/>
    <w:rsid w:val="00CB282A"/>
    <w:rsid w:val="00CB4060"/>
    <w:rsid w:val="00CC5241"/>
    <w:rsid w:val="00CD22C0"/>
    <w:rsid w:val="00CD5313"/>
    <w:rsid w:val="00CE0408"/>
    <w:rsid w:val="00CE155B"/>
    <w:rsid w:val="00CE1962"/>
    <w:rsid w:val="00CF0A1C"/>
    <w:rsid w:val="00D10138"/>
    <w:rsid w:val="00D144BA"/>
    <w:rsid w:val="00D153CF"/>
    <w:rsid w:val="00D25404"/>
    <w:rsid w:val="00D2798C"/>
    <w:rsid w:val="00D31951"/>
    <w:rsid w:val="00D32D85"/>
    <w:rsid w:val="00D36966"/>
    <w:rsid w:val="00D464BF"/>
    <w:rsid w:val="00D52744"/>
    <w:rsid w:val="00D52DA7"/>
    <w:rsid w:val="00D54B50"/>
    <w:rsid w:val="00D55741"/>
    <w:rsid w:val="00D627C7"/>
    <w:rsid w:val="00D6550E"/>
    <w:rsid w:val="00D66A26"/>
    <w:rsid w:val="00D70355"/>
    <w:rsid w:val="00D73128"/>
    <w:rsid w:val="00D77592"/>
    <w:rsid w:val="00D82195"/>
    <w:rsid w:val="00D86D44"/>
    <w:rsid w:val="00D86D4B"/>
    <w:rsid w:val="00D9072E"/>
    <w:rsid w:val="00D91DA4"/>
    <w:rsid w:val="00D95409"/>
    <w:rsid w:val="00D978D5"/>
    <w:rsid w:val="00D97DD9"/>
    <w:rsid w:val="00DA274F"/>
    <w:rsid w:val="00DB0CF1"/>
    <w:rsid w:val="00DC1888"/>
    <w:rsid w:val="00DC19A0"/>
    <w:rsid w:val="00DC4922"/>
    <w:rsid w:val="00DE29E3"/>
    <w:rsid w:val="00DF1F1C"/>
    <w:rsid w:val="00DF7389"/>
    <w:rsid w:val="00E02711"/>
    <w:rsid w:val="00E04902"/>
    <w:rsid w:val="00E13FDB"/>
    <w:rsid w:val="00E146DA"/>
    <w:rsid w:val="00E1645B"/>
    <w:rsid w:val="00E2258A"/>
    <w:rsid w:val="00E261A0"/>
    <w:rsid w:val="00E3069C"/>
    <w:rsid w:val="00E30AE1"/>
    <w:rsid w:val="00E37C12"/>
    <w:rsid w:val="00E41444"/>
    <w:rsid w:val="00E41F0F"/>
    <w:rsid w:val="00E60A90"/>
    <w:rsid w:val="00E65663"/>
    <w:rsid w:val="00E77C48"/>
    <w:rsid w:val="00E847A2"/>
    <w:rsid w:val="00E96A63"/>
    <w:rsid w:val="00EA2BF5"/>
    <w:rsid w:val="00EA6CD7"/>
    <w:rsid w:val="00EB64F3"/>
    <w:rsid w:val="00EC2FCB"/>
    <w:rsid w:val="00EC5D97"/>
    <w:rsid w:val="00EC5F52"/>
    <w:rsid w:val="00EC6901"/>
    <w:rsid w:val="00ED47C0"/>
    <w:rsid w:val="00ED4F95"/>
    <w:rsid w:val="00ED5EF5"/>
    <w:rsid w:val="00ED6B5D"/>
    <w:rsid w:val="00EE03EB"/>
    <w:rsid w:val="00EF1A1A"/>
    <w:rsid w:val="00EF2386"/>
    <w:rsid w:val="00EF70D6"/>
    <w:rsid w:val="00F03007"/>
    <w:rsid w:val="00F048BA"/>
    <w:rsid w:val="00F1237D"/>
    <w:rsid w:val="00F1716C"/>
    <w:rsid w:val="00F20A52"/>
    <w:rsid w:val="00F21A6C"/>
    <w:rsid w:val="00F243D8"/>
    <w:rsid w:val="00F26B70"/>
    <w:rsid w:val="00F32BCA"/>
    <w:rsid w:val="00F3323D"/>
    <w:rsid w:val="00F34EFE"/>
    <w:rsid w:val="00F35864"/>
    <w:rsid w:val="00F36DB6"/>
    <w:rsid w:val="00F45A56"/>
    <w:rsid w:val="00F504BA"/>
    <w:rsid w:val="00F516E1"/>
    <w:rsid w:val="00F57CED"/>
    <w:rsid w:val="00F61F18"/>
    <w:rsid w:val="00F64E60"/>
    <w:rsid w:val="00F653BD"/>
    <w:rsid w:val="00F66098"/>
    <w:rsid w:val="00F6703E"/>
    <w:rsid w:val="00F76CF6"/>
    <w:rsid w:val="00F965A6"/>
    <w:rsid w:val="00FA450F"/>
    <w:rsid w:val="00FA7F60"/>
    <w:rsid w:val="00FB00A7"/>
    <w:rsid w:val="00FB7813"/>
    <w:rsid w:val="00FC0725"/>
    <w:rsid w:val="00FC58BC"/>
    <w:rsid w:val="00FC7C2D"/>
    <w:rsid w:val="00FD2199"/>
    <w:rsid w:val="00FD5BD9"/>
    <w:rsid w:val="00FF25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9437"/>
  <w15:chartTrackingRefBased/>
  <w15:docId w15:val="{A68872BC-14EE-465E-8A41-BA5DF67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79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7958"/>
    <w:rPr>
      <w:rFonts w:ascii="Calibri" w:hAnsi="Calibri"/>
      <w:szCs w:val="21"/>
      <w:lang w:val="en-GB"/>
    </w:rPr>
  </w:style>
  <w:style w:type="character" w:customStyle="1" w:styleId="InternetLink">
    <w:name w:val="Internet Link"/>
    <w:rsid w:val="00E04902"/>
    <w:rPr>
      <w:rFonts w:cs="Times New Roman"/>
      <w:color w:val="0000FF"/>
      <w:u w:val="single"/>
    </w:rPr>
  </w:style>
  <w:style w:type="paragraph" w:customStyle="1" w:styleId="EndNoteBibliographyTitle">
    <w:name w:val="EndNote Bibliography Title"/>
    <w:basedOn w:val="Normal"/>
    <w:link w:val="EndNoteBibliographyTitleChar"/>
    <w:rsid w:val="00E0490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04902"/>
    <w:rPr>
      <w:rFonts w:ascii="Calibri" w:hAnsi="Calibri" w:cs="Calibri"/>
      <w:lang w:val="en-GB"/>
    </w:rPr>
  </w:style>
  <w:style w:type="paragraph" w:customStyle="1" w:styleId="EndNoteBibliography">
    <w:name w:val="EndNote Bibliography"/>
    <w:basedOn w:val="Normal"/>
    <w:link w:val="EndNoteBibliographyChar"/>
    <w:rsid w:val="00E0490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E04902"/>
    <w:rPr>
      <w:rFonts w:ascii="Calibri" w:hAnsi="Calibri" w:cs="Calibri"/>
      <w:lang w:val="en-GB"/>
    </w:rPr>
  </w:style>
  <w:style w:type="character" w:styleId="Hyperlink">
    <w:name w:val="Hyperlink"/>
    <w:basedOn w:val="DefaultParagraphFont"/>
    <w:uiPriority w:val="99"/>
    <w:unhideWhenUsed/>
    <w:rsid w:val="00395554"/>
    <w:rPr>
      <w:color w:val="0563C1" w:themeColor="hyperlink"/>
      <w:u w:val="single"/>
    </w:rPr>
  </w:style>
  <w:style w:type="paragraph" w:styleId="Header">
    <w:name w:val="header"/>
    <w:basedOn w:val="Normal"/>
    <w:link w:val="HeaderChar"/>
    <w:uiPriority w:val="99"/>
    <w:unhideWhenUsed/>
    <w:rsid w:val="006D71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1A5"/>
    <w:rPr>
      <w:lang w:val="en-US"/>
    </w:rPr>
  </w:style>
  <w:style w:type="paragraph" w:styleId="Footer">
    <w:name w:val="footer"/>
    <w:basedOn w:val="Normal"/>
    <w:link w:val="FooterChar"/>
    <w:uiPriority w:val="99"/>
    <w:unhideWhenUsed/>
    <w:rsid w:val="006D7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1A5"/>
    <w:rPr>
      <w:lang w:val="en-US"/>
    </w:rPr>
  </w:style>
  <w:style w:type="paragraph" w:styleId="ListParagraph">
    <w:name w:val="List Paragraph"/>
    <w:basedOn w:val="Normal"/>
    <w:uiPriority w:val="34"/>
    <w:qFormat/>
    <w:rsid w:val="00F504BA"/>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7D209B"/>
    <w:rPr>
      <w:sz w:val="16"/>
      <w:szCs w:val="16"/>
    </w:rPr>
  </w:style>
  <w:style w:type="paragraph" w:styleId="CommentText">
    <w:name w:val="annotation text"/>
    <w:basedOn w:val="Normal"/>
    <w:link w:val="CommentTextChar"/>
    <w:uiPriority w:val="99"/>
    <w:unhideWhenUsed/>
    <w:rsid w:val="007D209B"/>
    <w:pPr>
      <w:spacing w:line="240" w:lineRule="auto"/>
    </w:pPr>
    <w:rPr>
      <w:sz w:val="20"/>
      <w:szCs w:val="20"/>
    </w:rPr>
  </w:style>
  <w:style w:type="character" w:customStyle="1" w:styleId="CommentTextChar">
    <w:name w:val="Comment Text Char"/>
    <w:basedOn w:val="DefaultParagraphFont"/>
    <w:link w:val="CommentText"/>
    <w:uiPriority w:val="99"/>
    <w:rsid w:val="007D209B"/>
    <w:rPr>
      <w:sz w:val="20"/>
      <w:szCs w:val="20"/>
      <w:lang w:val="en-US"/>
    </w:rPr>
  </w:style>
  <w:style w:type="paragraph" w:styleId="CommentSubject">
    <w:name w:val="annotation subject"/>
    <w:basedOn w:val="CommentText"/>
    <w:next w:val="CommentText"/>
    <w:link w:val="CommentSubjectChar"/>
    <w:uiPriority w:val="99"/>
    <w:semiHidden/>
    <w:unhideWhenUsed/>
    <w:rsid w:val="007D209B"/>
    <w:rPr>
      <w:b/>
      <w:bCs/>
    </w:rPr>
  </w:style>
  <w:style w:type="character" w:customStyle="1" w:styleId="CommentSubjectChar">
    <w:name w:val="Comment Subject Char"/>
    <w:basedOn w:val="CommentTextChar"/>
    <w:link w:val="CommentSubject"/>
    <w:uiPriority w:val="99"/>
    <w:semiHidden/>
    <w:rsid w:val="007D209B"/>
    <w:rPr>
      <w:b/>
      <w:bCs/>
      <w:sz w:val="20"/>
      <w:szCs w:val="20"/>
      <w:lang w:val="en-US"/>
    </w:rPr>
  </w:style>
  <w:style w:type="paragraph" w:styleId="BalloonText">
    <w:name w:val="Balloon Text"/>
    <w:basedOn w:val="Normal"/>
    <w:link w:val="BalloonTextChar"/>
    <w:uiPriority w:val="99"/>
    <w:semiHidden/>
    <w:unhideWhenUsed/>
    <w:rsid w:val="007D2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9B"/>
    <w:rPr>
      <w:rFonts w:ascii="Segoe UI" w:hAnsi="Segoe UI" w:cs="Segoe UI"/>
      <w:sz w:val="18"/>
      <w:szCs w:val="18"/>
      <w:lang w:val="en-US"/>
    </w:rPr>
  </w:style>
  <w:style w:type="character" w:customStyle="1" w:styleId="q4iawc">
    <w:name w:val="q4iawc"/>
    <w:basedOn w:val="DefaultParagraphFont"/>
    <w:rsid w:val="00E146DA"/>
  </w:style>
  <w:style w:type="paragraph" w:styleId="Revision">
    <w:name w:val="Revision"/>
    <w:hidden/>
    <w:uiPriority w:val="99"/>
    <w:semiHidden/>
    <w:rsid w:val="0092771F"/>
    <w:pPr>
      <w:spacing w:after="0" w:line="240" w:lineRule="auto"/>
    </w:pPr>
    <w:rPr>
      <w:lang w:val="en-US"/>
    </w:rPr>
  </w:style>
  <w:style w:type="paragraph" w:styleId="EndnoteText">
    <w:name w:val="endnote text"/>
    <w:basedOn w:val="Normal"/>
    <w:link w:val="EndnoteTextChar"/>
    <w:uiPriority w:val="99"/>
    <w:semiHidden/>
    <w:unhideWhenUsed/>
    <w:rsid w:val="008F6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67F"/>
    <w:rPr>
      <w:sz w:val="20"/>
      <w:szCs w:val="20"/>
      <w:lang w:val="en-US"/>
    </w:rPr>
  </w:style>
  <w:style w:type="character" w:styleId="EndnoteReference">
    <w:name w:val="endnote reference"/>
    <w:basedOn w:val="DefaultParagraphFont"/>
    <w:uiPriority w:val="99"/>
    <w:semiHidden/>
    <w:unhideWhenUsed/>
    <w:rsid w:val="008F667F"/>
    <w:rPr>
      <w:vertAlign w:val="superscript"/>
    </w:rPr>
  </w:style>
  <w:style w:type="character" w:styleId="Strong">
    <w:name w:val="Strong"/>
    <w:basedOn w:val="DefaultParagraphFont"/>
    <w:uiPriority w:val="22"/>
    <w:qFormat/>
    <w:rsid w:val="00A13029"/>
    <w:rPr>
      <w:b/>
      <w:bCs/>
    </w:rPr>
  </w:style>
  <w:style w:type="paragraph" w:styleId="NormalWeb">
    <w:name w:val="Normal (Web)"/>
    <w:basedOn w:val="Normal"/>
    <w:uiPriority w:val="99"/>
    <w:semiHidden/>
    <w:unhideWhenUsed/>
    <w:rsid w:val="00294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B47D01"/>
  </w:style>
  <w:style w:type="character" w:customStyle="1" w:styleId="gt-card-ttl-txt">
    <w:name w:val="gt-card-ttl-txt"/>
    <w:basedOn w:val="DefaultParagraphFont"/>
    <w:rsid w:val="008D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00060">
      <w:bodyDiv w:val="1"/>
      <w:marLeft w:val="0"/>
      <w:marRight w:val="0"/>
      <w:marTop w:val="0"/>
      <w:marBottom w:val="0"/>
      <w:divBdr>
        <w:top w:val="none" w:sz="0" w:space="0" w:color="auto"/>
        <w:left w:val="none" w:sz="0" w:space="0" w:color="auto"/>
        <w:bottom w:val="none" w:sz="0" w:space="0" w:color="auto"/>
        <w:right w:val="none" w:sz="0" w:space="0" w:color="auto"/>
      </w:divBdr>
    </w:div>
    <w:div w:id="1133256100">
      <w:bodyDiv w:val="1"/>
      <w:marLeft w:val="0"/>
      <w:marRight w:val="0"/>
      <w:marTop w:val="0"/>
      <w:marBottom w:val="0"/>
      <w:divBdr>
        <w:top w:val="none" w:sz="0" w:space="0" w:color="auto"/>
        <w:left w:val="none" w:sz="0" w:space="0" w:color="auto"/>
        <w:bottom w:val="none" w:sz="0" w:space="0" w:color="auto"/>
        <w:right w:val="none" w:sz="0" w:space="0" w:color="auto"/>
      </w:divBdr>
      <w:divsChild>
        <w:div w:id="1562447087">
          <w:marLeft w:val="0"/>
          <w:marRight w:val="0"/>
          <w:marTop w:val="0"/>
          <w:marBottom w:val="0"/>
          <w:divBdr>
            <w:top w:val="none" w:sz="0" w:space="0" w:color="auto"/>
            <w:left w:val="none" w:sz="0" w:space="0" w:color="auto"/>
            <w:bottom w:val="none" w:sz="0" w:space="0" w:color="auto"/>
            <w:right w:val="none" w:sz="0" w:space="0" w:color="auto"/>
          </w:divBdr>
          <w:divsChild>
            <w:div w:id="1153981872">
              <w:marLeft w:val="0"/>
              <w:marRight w:val="0"/>
              <w:marTop w:val="0"/>
              <w:marBottom w:val="0"/>
              <w:divBdr>
                <w:top w:val="none" w:sz="0" w:space="0" w:color="auto"/>
                <w:left w:val="none" w:sz="0" w:space="0" w:color="auto"/>
                <w:bottom w:val="none" w:sz="0" w:space="0" w:color="auto"/>
                <w:right w:val="none" w:sz="0" w:space="0" w:color="auto"/>
              </w:divBdr>
              <w:divsChild>
                <w:div w:id="2115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7567">
      <w:bodyDiv w:val="1"/>
      <w:marLeft w:val="0"/>
      <w:marRight w:val="0"/>
      <w:marTop w:val="0"/>
      <w:marBottom w:val="0"/>
      <w:divBdr>
        <w:top w:val="none" w:sz="0" w:space="0" w:color="auto"/>
        <w:left w:val="none" w:sz="0" w:space="0" w:color="auto"/>
        <w:bottom w:val="none" w:sz="0" w:space="0" w:color="auto"/>
        <w:right w:val="none" w:sz="0" w:space="0" w:color="auto"/>
      </w:divBdr>
    </w:div>
    <w:div w:id="1387530606">
      <w:bodyDiv w:val="1"/>
      <w:marLeft w:val="0"/>
      <w:marRight w:val="0"/>
      <w:marTop w:val="0"/>
      <w:marBottom w:val="0"/>
      <w:divBdr>
        <w:top w:val="none" w:sz="0" w:space="0" w:color="auto"/>
        <w:left w:val="none" w:sz="0" w:space="0" w:color="auto"/>
        <w:bottom w:val="none" w:sz="0" w:space="0" w:color="auto"/>
        <w:right w:val="none" w:sz="0" w:space="0" w:color="auto"/>
      </w:divBdr>
      <w:divsChild>
        <w:div w:id="56978285">
          <w:marLeft w:val="0"/>
          <w:marRight w:val="0"/>
          <w:marTop w:val="0"/>
          <w:marBottom w:val="0"/>
          <w:divBdr>
            <w:top w:val="none" w:sz="0" w:space="0" w:color="auto"/>
            <w:left w:val="none" w:sz="0" w:space="0" w:color="auto"/>
            <w:bottom w:val="none" w:sz="0" w:space="0" w:color="auto"/>
            <w:right w:val="none" w:sz="0" w:space="0" w:color="auto"/>
          </w:divBdr>
          <w:divsChild>
            <w:div w:id="1667589788">
              <w:marLeft w:val="0"/>
              <w:marRight w:val="0"/>
              <w:marTop w:val="0"/>
              <w:marBottom w:val="0"/>
              <w:divBdr>
                <w:top w:val="none" w:sz="0" w:space="0" w:color="auto"/>
                <w:left w:val="none" w:sz="0" w:space="0" w:color="auto"/>
                <w:bottom w:val="none" w:sz="0" w:space="0" w:color="auto"/>
                <w:right w:val="none" w:sz="0" w:space="0" w:color="auto"/>
              </w:divBdr>
              <w:divsChild>
                <w:div w:id="9413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0E31-CA31-4B81-8EE3-47365FE5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4220</Words>
  <Characters>22372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Durant</dc:creator>
  <cp:keywords/>
  <dc:description/>
  <cp:lastModifiedBy>Joël</cp:lastModifiedBy>
  <cp:revision>4</cp:revision>
  <cp:lastPrinted>2022-08-16T12:57:00Z</cp:lastPrinted>
  <dcterms:created xsi:type="dcterms:W3CDTF">2022-09-12T10:59:00Z</dcterms:created>
  <dcterms:modified xsi:type="dcterms:W3CDTF">2022-09-12T11:17:00Z</dcterms:modified>
</cp:coreProperties>
</file>